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25AE7" w14:textId="710AD963" w:rsidR="00E95600" w:rsidRDefault="00E95600" w:rsidP="00E95600">
      <w:pPr>
        <w:jc w:val="center"/>
        <w:rPr>
          <w:sz w:val="72"/>
          <w:szCs w:val="72"/>
        </w:rPr>
      </w:pPr>
    </w:p>
    <w:p w14:paraId="389F370E" w14:textId="77777777" w:rsidR="00E95600" w:rsidRDefault="00E95600" w:rsidP="00E95600">
      <w:pPr>
        <w:jc w:val="center"/>
        <w:rPr>
          <w:sz w:val="72"/>
          <w:szCs w:val="72"/>
        </w:rPr>
      </w:pPr>
    </w:p>
    <w:p w14:paraId="61000A71" w14:textId="4CDE2AD4" w:rsidR="00E95600" w:rsidRPr="00E95600" w:rsidRDefault="00E95600" w:rsidP="00E95600">
      <w:pPr>
        <w:jc w:val="center"/>
        <w:rPr>
          <w:b/>
          <w:bCs/>
          <w:sz w:val="32"/>
          <w:szCs w:val="32"/>
        </w:rPr>
      </w:pPr>
      <w:r w:rsidRPr="00E95600">
        <w:rPr>
          <w:b/>
          <w:bCs/>
          <w:sz w:val="32"/>
          <w:szCs w:val="32"/>
        </w:rPr>
        <w:t>Mount Ascutney Regional Commission</w:t>
      </w:r>
    </w:p>
    <w:p w14:paraId="6702F430" w14:textId="599D6D49" w:rsidR="00B44BB7" w:rsidRPr="00E95600" w:rsidRDefault="00E95600" w:rsidP="00E95600">
      <w:pPr>
        <w:jc w:val="center"/>
        <w:rPr>
          <w:sz w:val="96"/>
          <w:szCs w:val="96"/>
        </w:rPr>
      </w:pPr>
      <w:r w:rsidRPr="00E95600">
        <w:rPr>
          <w:sz w:val="96"/>
          <w:szCs w:val="96"/>
        </w:rPr>
        <w:t>Title VI Plan</w:t>
      </w:r>
    </w:p>
    <w:p w14:paraId="3B930B43" w14:textId="55E0EA8B" w:rsidR="00E95600" w:rsidRPr="00E95600" w:rsidRDefault="00E95600" w:rsidP="00E95600">
      <w:pPr>
        <w:jc w:val="center"/>
        <w:rPr>
          <w:sz w:val="36"/>
          <w:szCs w:val="36"/>
        </w:rPr>
      </w:pPr>
      <w:r w:rsidRPr="00E95600">
        <w:rPr>
          <w:sz w:val="36"/>
          <w:szCs w:val="36"/>
        </w:rPr>
        <w:t>Non-Discrimination in Federally-Assisted Programs</w:t>
      </w:r>
    </w:p>
    <w:p w14:paraId="090A67D2" w14:textId="77777777" w:rsidR="00E95600" w:rsidRPr="00E95600" w:rsidRDefault="00E95600" w:rsidP="00E95600">
      <w:pPr>
        <w:jc w:val="center"/>
        <w:rPr>
          <w:sz w:val="28"/>
          <w:szCs w:val="28"/>
        </w:rPr>
      </w:pPr>
    </w:p>
    <w:p w14:paraId="10F26665" w14:textId="77777777" w:rsidR="00E95600" w:rsidRDefault="00E95600" w:rsidP="00E95600">
      <w:pPr>
        <w:pStyle w:val="OrgNameandDate"/>
        <w:jc w:val="center"/>
        <w:rPr>
          <w:rFonts w:asciiTheme="minorHAnsi" w:hAnsiTheme="minorHAnsi" w:cstheme="minorHAnsi"/>
          <w:i/>
          <w:iCs/>
        </w:rPr>
      </w:pPr>
      <w:r w:rsidRPr="00E95600">
        <w:rPr>
          <w:rFonts w:asciiTheme="minorHAnsi" w:hAnsiTheme="minorHAnsi" w:cstheme="minorHAnsi"/>
          <w:i/>
          <w:iCs/>
        </w:rPr>
        <w:t>Approved: October 19, 2020</w:t>
      </w:r>
    </w:p>
    <w:p w14:paraId="39F595A6" w14:textId="77777777" w:rsidR="00E95600" w:rsidRPr="00E95600" w:rsidRDefault="00E95600" w:rsidP="00E95600">
      <w:pPr>
        <w:pStyle w:val="OrgNameandDate"/>
        <w:jc w:val="center"/>
        <w:rPr>
          <w:rFonts w:asciiTheme="minorHAnsi" w:hAnsiTheme="minorHAnsi" w:cstheme="minorHAnsi"/>
          <w:i/>
          <w:iCs/>
        </w:rPr>
      </w:pPr>
    </w:p>
    <w:p w14:paraId="10EDE18C" w14:textId="2D6BE081" w:rsidR="00E95600" w:rsidRDefault="00E95600" w:rsidP="00E95600">
      <w:pPr>
        <w:jc w:val="center"/>
        <w:rPr>
          <w:rFonts w:asciiTheme="minorHAnsi" w:hAnsiTheme="minorHAnsi" w:cstheme="minorHAnsi"/>
          <w:i/>
          <w:iCs/>
          <w:sz w:val="28"/>
          <w:szCs w:val="28"/>
        </w:rPr>
      </w:pPr>
      <w:r w:rsidRPr="00E95600">
        <w:rPr>
          <w:rFonts w:asciiTheme="minorHAnsi" w:hAnsiTheme="minorHAnsi" w:cstheme="minorHAnsi"/>
          <w:i/>
          <w:iCs/>
          <w:sz w:val="28"/>
          <w:szCs w:val="28"/>
        </w:rPr>
        <w:t xml:space="preserve">Draft Amendment: </w:t>
      </w:r>
      <w:r w:rsidR="008A2FBA">
        <w:rPr>
          <w:rFonts w:asciiTheme="minorHAnsi" w:hAnsiTheme="minorHAnsi" w:cstheme="minorHAnsi"/>
          <w:i/>
          <w:iCs/>
          <w:sz w:val="28"/>
          <w:szCs w:val="28"/>
          <w:highlight w:val="yellow"/>
        </w:rPr>
        <w:t xml:space="preserve">May </w:t>
      </w:r>
      <w:r w:rsidR="004D1E04">
        <w:rPr>
          <w:rFonts w:asciiTheme="minorHAnsi" w:hAnsiTheme="minorHAnsi" w:cstheme="minorHAnsi"/>
          <w:i/>
          <w:iCs/>
          <w:sz w:val="28"/>
          <w:szCs w:val="28"/>
          <w:highlight w:val="yellow"/>
        </w:rPr>
        <w:t>13</w:t>
      </w:r>
      <w:r w:rsidRPr="00E95600">
        <w:rPr>
          <w:rFonts w:asciiTheme="minorHAnsi" w:hAnsiTheme="minorHAnsi" w:cstheme="minorHAnsi"/>
          <w:i/>
          <w:iCs/>
          <w:sz w:val="28"/>
          <w:szCs w:val="28"/>
          <w:highlight w:val="yellow"/>
        </w:rPr>
        <w:t>, 2024</w:t>
      </w:r>
    </w:p>
    <w:p w14:paraId="65A5A7D7" w14:textId="77777777" w:rsidR="004C680C" w:rsidRDefault="004C680C" w:rsidP="00E95600">
      <w:pPr>
        <w:jc w:val="center"/>
        <w:rPr>
          <w:rFonts w:asciiTheme="minorHAnsi" w:hAnsiTheme="minorHAnsi" w:cstheme="minorHAnsi"/>
          <w:i/>
          <w:iCs/>
          <w:sz w:val="28"/>
          <w:szCs w:val="28"/>
        </w:rPr>
      </w:pPr>
    </w:p>
    <w:p w14:paraId="62E0FA03" w14:textId="77777777" w:rsidR="004C680C" w:rsidRDefault="004C680C" w:rsidP="00E95600">
      <w:pPr>
        <w:jc w:val="center"/>
        <w:rPr>
          <w:rFonts w:asciiTheme="minorHAnsi" w:hAnsiTheme="minorHAnsi" w:cstheme="minorHAnsi"/>
          <w:i/>
          <w:iCs/>
          <w:sz w:val="28"/>
          <w:szCs w:val="28"/>
        </w:rPr>
      </w:pPr>
    </w:p>
    <w:p w14:paraId="2A2FDA60" w14:textId="77777777" w:rsidR="004C680C" w:rsidRDefault="004C680C" w:rsidP="00E95600">
      <w:pPr>
        <w:jc w:val="center"/>
        <w:rPr>
          <w:rFonts w:asciiTheme="minorHAnsi" w:hAnsiTheme="minorHAnsi" w:cstheme="minorHAnsi"/>
          <w:i/>
          <w:iCs/>
          <w:sz w:val="28"/>
          <w:szCs w:val="28"/>
        </w:rPr>
      </w:pPr>
    </w:p>
    <w:p w14:paraId="15DE5229" w14:textId="77777777" w:rsidR="004C680C" w:rsidRDefault="004C680C" w:rsidP="00E95600">
      <w:pPr>
        <w:jc w:val="center"/>
        <w:rPr>
          <w:rFonts w:asciiTheme="minorHAnsi" w:hAnsiTheme="minorHAnsi" w:cstheme="minorHAnsi"/>
          <w:i/>
          <w:iCs/>
          <w:sz w:val="28"/>
          <w:szCs w:val="28"/>
        </w:rPr>
      </w:pPr>
    </w:p>
    <w:p w14:paraId="3897AE22" w14:textId="77777777" w:rsidR="004C680C" w:rsidRDefault="004C680C" w:rsidP="00E95600">
      <w:pPr>
        <w:jc w:val="center"/>
        <w:rPr>
          <w:rFonts w:asciiTheme="minorHAnsi" w:hAnsiTheme="minorHAnsi" w:cstheme="minorHAnsi"/>
          <w:i/>
          <w:iCs/>
          <w:sz w:val="28"/>
          <w:szCs w:val="28"/>
        </w:rPr>
      </w:pPr>
    </w:p>
    <w:p w14:paraId="56AB3621" w14:textId="77777777" w:rsidR="004C680C" w:rsidRDefault="004C680C" w:rsidP="00E95600">
      <w:pPr>
        <w:jc w:val="center"/>
        <w:rPr>
          <w:rFonts w:asciiTheme="minorHAnsi" w:hAnsiTheme="minorHAnsi" w:cstheme="minorHAnsi"/>
          <w:i/>
          <w:iCs/>
          <w:sz w:val="28"/>
          <w:szCs w:val="28"/>
        </w:rPr>
      </w:pPr>
    </w:p>
    <w:p w14:paraId="513C0542" w14:textId="77777777" w:rsidR="004C680C" w:rsidRDefault="004C680C" w:rsidP="00E95600">
      <w:pPr>
        <w:jc w:val="center"/>
        <w:rPr>
          <w:rFonts w:asciiTheme="minorHAnsi" w:hAnsiTheme="minorHAnsi" w:cstheme="minorHAnsi"/>
          <w:i/>
          <w:iCs/>
          <w:sz w:val="28"/>
          <w:szCs w:val="28"/>
        </w:rPr>
      </w:pPr>
    </w:p>
    <w:p w14:paraId="24F1C934" w14:textId="77777777" w:rsidR="004C680C" w:rsidRDefault="004C680C" w:rsidP="00E95600">
      <w:pPr>
        <w:jc w:val="center"/>
        <w:rPr>
          <w:rFonts w:asciiTheme="minorHAnsi" w:hAnsiTheme="minorHAnsi" w:cstheme="minorHAnsi"/>
          <w:i/>
          <w:iCs/>
          <w:sz w:val="28"/>
          <w:szCs w:val="28"/>
        </w:rPr>
      </w:pPr>
    </w:p>
    <w:p w14:paraId="6F2202F1" w14:textId="77777777" w:rsidR="004C680C" w:rsidRDefault="004C680C" w:rsidP="00E95600">
      <w:pPr>
        <w:jc w:val="center"/>
        <w:rPr>
          <w:rFonts w:asciiTheme="minorHAnsi" w:hAnsiTheme="minorHAnsi" w:cstheme="minorHAnsi"/>
          <w:i/>
          <w:iCs/>
          <w:sz w:val="28"/>
          <w:szCs w:val="28"/>
        </w:rPr>
      </w:pPr>
    </w:p>
    <w:sdt>
      <w:sdtPr>
        <w:rPr>
          <w:rFonts w:ascii="Calibri" w:eastAsia="Calibri" w:hAnsi="Calibri" w:cs="Times New Roman"/>
          <w:color w:val="auto"/>
          <w:sz w:val="24"/>
          <w:szCs w:val="24"/>
        </w:rPr>
        <w:id w:val="1171685942"/>
        <w:docPartObj>
          <w:docPartGallery w:val="Table of Contents"/>
          <w:docPartUnique/>
        </w:docPartObj>
      </w:sdtPr>
      <w:sdtEndPr>
        <w:rPr>
          <w:b/>
          <w:bCs/>
          <w:noProof/>
        </w:rPr>
      </w:sdtEndPr>
      <w:sdtContent>
        <w:p w14:paraId="015D5251" w14:textId="0FC20FF9" w:rsidR="004C680C" w:rsidRPr="00AC46B1" w:rsidRDefault="004C680C">
          <w:pPr>
            <w:pStyle w:val="TOCHeading"/>
            <w:rPr>
              <w:sz w:val="40"/>
              <w:szCs w:val="40"/>
            </w:rPr>
          </w:pPr>
          <w:r w:rsidRPr="00AC46B1">
            <w:rPr>
              <w:sz w:val="40"/>
              <w:szCs w:val="40"/>
            </w:rPr>
            <w:t>Table of Contents</w:t>
          </w:r>
        </w:p>
        <w:p w14:paraId="2E4E1600" w14:textId="1A7AE17B" w:rsidR="009E0554" w:rsidRPr="00AC46B1" w:rsidRDefault="004C680C">
          <w:pPr>
            <w:pStyle w:val="TOC1"/>
            <w:tabs>
              <w:tab w:val="left" w:pos="480"/>
              <w:tab w:val="right" w:leader="dot" w:pos="9350"/>
            </w:tabs>
            <w:rPr>
              <w:noProof/>
              <w:sz w:val="32"/>
              <w:szCs w:val="32"/>
            </w:rPr>
          </w:pPr>
          <w:r w:rsidRPr="00AC46B1">
            <w:rPr>
              <w:sz w:val="32"/>
              <w:szCs w:val="32"/>
            </w:rPr>
            <w:fldChar w:fldCharType="begin"/>
          </w:r>
          <w:r w:rsidRPr="00AC46B1">
            <w:rPr>
              <w:sz w:val="32"/>
              <w:szCs w:val="32"/>
            </w:rPr>
            <w:instrText xml:space="preserve"> TOC \o "1-3" \h \z \u </w:instrText>
          </w:r>
          <w:r w:rsidRPr="00AC46B1">
            <w:rPr>
              <w:sz w:val="32"/>
              <w:szCs w:val="32"/>
            </w:rPr>
            <w:fldChar w:fldCharType="separate"/>
          </w:r>
          <w:hyperlink w:anchor="_Toc164160707" w:history="1">
            <w:r w:rsidR="009E0554" w:rsidRPr="00AC46B1">
              <w:rPr>
                <w:rStyle w:val="Hyperlink"/>
                <w:noProof/>
                <w:sz w:val="32"/>
                <w:szCs w:val="32"/>
              </w:rPr>
              <w:t>I.</w:t>
            </w:r>
            <w:r w:rsidR="009E0554" w:rsidRPr="00AC46B1">
              <w:rPr>
                <w:noProof/>
                <w:sz w:val="32"/>
                <w:szCs w:val="32"/>
              </w:rPr>
              <w:tab/>
            </w:r>
            <w:r w:rsidR="009E0554" w:rsidRPr="00AC46B1">
              <w:rPr>
                <w:rStyle w:val="Hyperlink"/>
                <w:noProof/>
                <w:sz w:val="32"/>
                <w:szCs w:val="32"/>
              </w:rPr>
              <w:t>Introduction</w:t>
            </w:r>
            <w:r w:rsidR="009E0554" w:rsidRPr="00AC46B1">
              <w:rPr>
                <w:noProof/>
                <w:webHidden/>
                <w:sz w:val="32"/>
                <w:szCs w:val="32"/>
              </w:rPr>
              <w:tab/>
            </w:r>
            <w:r w:rsidR="009E0554" w:rsidRPr="00AC46B1">
              <w:rPr>
                <w:noProof/>
                <w:webHidden/>
                <w:sz w:val="32"/>
                <w:szCs w:val="32"/>
              </w:rPr>
              <w:fldChar w:fldCharType="begin"/>
            </w:r>
            <w:r w:rsidR="009E0554" w:rsidRPr="00AC46B1">
              <w:rPr>
                <w:noProof/>
                <w:webHidden/>
                <w:sz w:val="32"/>
                <w:szCs w:val="32"/>
              </w:rPr>
              <w:instrText xml:space="preserve"> PAGEREF _Toc164160707 \h </w:instrText>
            </w:r>
            <w:r w:rsidR="009E0554" w:rsidRPr="00AC46B1">
              <w:rPr>
                <w:noProof/>
                <w:webHidden/>
                <w:sz w:val="32"/>
                <w:szCs w:val="32"/>
              </w:rPr>
            </w:r>
            <w:r w:rsidR="009E0554" w:rsidRPr="00AC46B1">
              <w:rPr>
                <w:noProof/>
                <w:webHidden/>
                <w:sz w:val="32"/>
                <w:szCs w:val="32"/>
              </w:rPr>
              <w:fldChar w:fldCharType="separate"/>
            </w:r>
            <w:r w:rsidR="009E0554" w:rsidRPr="00AC46B1">
              <w:rPr>
                <w:noProof/>
                <w:webHidden/>
                <w:sz w:val="32"/>
                <w:szCs w:val="32"/>
              </w:rPr>
              <w:t>3</w:t>
            </w:r>
            <w:r w:rsidR="009E0554" w:rsidRPr="00AC46B1">
              <w:rPr>
                <w:noProof/>
                <w:webHidden/>
                <w:sz w:val="32"/>
                <w:szCs w:val="32"/>
              </w:rPr>
              <w:fldChar w:fldCharType="end"/>
            </w:r>
          </w:hyperlink>
        </w:p>
        <w:p w14:paraId="04AED85E" w14:textId="3A162E5B" w:rsidR="009E0554" w:rsidRPr="00AC46B1" w:rsidRDefault="00B963F0">
          <w:pPr>
            <w:pStyle w:val="TOC1"/>
            <w:tabs>
              <w:tab w:val="left" w:pos="480"/>
              <w:tab w:val="right" w:leader="dot" w:pos="9350"/>
            </w:tabs>
            <w:rPr>
              <w:noProof/>
              <w:sz w:val="32"/>
              <w:szCs w:val="32"/>
            </w:rPr>
          </w:pPr>
          <w:hyperlink w:anchor="_Toc164160708" w:history="1">
            <w:r w:rsidR="009E0554" w:rsidRPr="00AC46B1">
              <w:rPr>
                <w:rStyle w:val="Hyperlink"/>
                <w:noProof/>
                <w:sz w:val="32"/>
                <w:szCs w:val="32"/>
              </w:rPr>
              <w:t>II.</w:t>
            </w:r>
            <w:r w:rsidR="009E0554" w:rsidRPr="00AC46B1">
              <w:rPr>
                <w:noProof/>
                <w:sz w:val="32"/>
                <w:szCs w:val="32"/>
              </w:rPr>
              <w:tab/>
            </w:r>
            <w:r w:rsidR="009E0554" w:rsidRPr="00AC46B1">
              <w:rPr>
                <w:rStyle w:val="Hyperlink"/>
                <w:noProof/>
                <w:sz w:val="32"/>
                <w:szCs w:val="32"/>
              </w:rPr>
              <w:t>Authorities</w:t>
            </w:r>
            <w:r w:rsidR="009E0554" w:rsidRPr="00AC46B1">
              <w:rPr>
                <w:noProof/>
                <w:webHidden/>
                <w:sz w:val="32"/>
                <w:szCs w:val="32"/>
              </w:rPr>
              <w:tab/>
            </w:r>
            <w:r w:rsidR="009E0554" w:rsidRPr="00AC46B1">
              <w:rPr>
                <w:noProof/>
                <w:webHidden/>
                <w:sz w:val="32"/>
                <w:szCs w:val="32"/>
              </w:rPr>
              <w:fldChar w:fldCharType="begin"/>
            </w:r>
            <w:r w:rsidR="009E0554" w:rsidRPr="00AC46B1">
              <w:rPr>
                <w:noProof/>
                <w:webHidden/>
                <w:sz w:val="32"/>
                <w:szCs w:val="32"/>
              </w:rPr>
              <w:instrText xml:space="preserve"> PAGEREF _Toc164160708 \h </w:instrText>
            </w:r>
            <w:r w:rsidR="009E0554" w:rsidRPr="00AC46B1">
              <w:rPr>
                <w:noProof/>
                <w:webHidden/>
                <w:sz w:val="32"/>
                <w:szCs w:val="32"/>
              </w:rPr>
            </w:r>
            <w:r w:rsidR="009E0554" w:rsidRPr="00AC46B1">
              <w:rPr>
                <w:noProof/>
                <w:webHidden/>
                <w:sz w:val="32"/>
                <w:szCs w:val="32"/>
              </w:rPr>
              <w:fldChar w:fldCharType="separate"/>
            </w:r>
            <w:r w:rsidR="009E0554" w:rsidRPr="00AC46B1">
              <w:rPr>
                <w:noProof/>
                <w:webHidden/>
                <w:sz w:val="32"/>
                <w:szCs w:val="32"/>
              </w:rPr>
              <w:t>3</w:t>
            </w:r>
            <w:r w:rsidR="009E0554" w:rsidRPr="00AC46B1">
              <w:rPr>
                <w:noProof/>
                <w:webHidden/>
                <w:sz w:val="32"/>
                <w:szCs w:val="32"/>
              </w:rPr>
              <w:fldChar w:fldCharType="end"/>
            </w:r>
          </w:hyperlink>
        </w:p>
        <w:p w14:paraId="42AF43DF" w14:textId="1982BB86" w:rsidR="009E0554" w:rsidRPr="00AC46B1" w:rsidRDefault="00B963F0">
          <w:pPr>
            <w:pStyle w:val="TOC1"/>
            <w:tabs>
              <w:tab w:val="left" w:pos="720"/>
              <w:tab w:val="right" w:leader="dot" w:pos="9350"/>
            </w:tabs>
            <w:rPr>
              <w:noProof/>
              <w:sz w:val="32"/>
              <w:szCs w:val="32"/>
            </w:rPr>
          </w:pPr>
          <w:hyperlink w:anchor="_Toc164160709" w:history="1">
            <w:r w:rsidR="009E0554" w:rsidRPr="00AC46B1">
              <w:rPr>
                <w:rStyle w:val="Hyperlink"/>
                <w:noProof/>
                <w:sz w:val="32"/>
                <w:szCs w:val="32"/>
              </w:rPr>
              <w:t>III.</w:t>
            </w:r>
            <w:r w:rsidR="009E0554" w:rsidRPr="00AC46B1">
              <w:rPr>
                <w:noProof/>
                <w:sz w:val="32"/>
                <w:szCs w:val="32"/>
              </w:rPr>
              <w:t xml:space="preserve">    </w:t>
            </w:r>
            <w:r w:rsidR="009E0554" w:rsidRPr="00AC46B1">
              <w:rPr>
                <w:rStyle w:val="Hyperlink"/>
                <w:noProof/>
                <w:sz w:val="32"/>
                <w:szCs w:val="32"/>
              </w:rPr>
              <w:t>MARC Non-Discrimination Policy</w:t>
            </w:r>
            <w:r w:rsidR="009E0554" w:rsidRPr="00AC46B1">
              <w:rPr>
                <w:noProof/>
                <w:webHidden/>
                <w:sz w:val="32"/>
                <w:szCs w:val="32"/>
              </w:rPr>
              <w:tab/>
            </w:r>
            <w:r w:rsidR="009E0554" w:rsidRPr="00AC46B1">
              <w:rPr>
                <w:noProof/>
                <w:webHidden/>
                <w:sz w:val="32"/>
                <w:szCs w:val="32"/>
              </w:rPr>
              <w:fldChar w:fldCharType="begin"/>
            </w:r>
            <w:r w:rsidR="009E0554" w:rsidRPr="00AC46B1">
              <w:rPr>
                <w:noProof/>
                <w:webHidden/>
                <w:sz w:val="32"/>
                <w:szCs w:val="32"/>
              </w:rPr>
              <w:instrText xml:space="preserve"> PAGEREF _Toc164160709 \h </w:instrText>
            </w:r>
            <w:r w:rsidR="009E0554" w:rsidRPr="00AC46B1">
              <w:rPr>
                <w:noProof/>
                <w:webHidden/>
                <w:sz w:val="32"/>
                <w:szCs w:val="32"/>
              </w:rPr>
            </w:r>
            <w:r w:rsidR="009E0554" w:rsidRPr="00AC46B1">
              <w:rPr>
                <w:noProof/>
                <w:webHidden/>
                <w:sz w:val="32"/>
                <w:szCs w:val="32"/>
              </w:rPr>
              <w:fldChar w:fldCharType="separate"/>
            </w:r>
            <w:r w:rsidR="009E0554" w:rsidRPr="00AC46B1">
              <w:rPr>
                <w:noProof/>
                <w:webHidden/>
                <w:sz w:val="32"/>
                <w:szCs w:val="32"/>
              </w:rPr>
              <w:t>5</w:t>
            </w:r>
            <w:r w:rsidR="009E0554" w:rsidRPr="00AC46B1">
              <w:rPr>
                <w:noProof/>
                <w:webHidden/>
                <w:sz w:val="32"/>
                <w:szCs w:val="32"/>
              </w:rPr>
              <w:fldChar w:fldCharType="end"/>
            </w:r>
          </w:hyperlink>
        </w:p>
        <w:p w14:paraId="58CBA4EA" w14:textId="7AB2F993" w:rsidR="009E0554" w:rsidRPr="00AC46B1" w:rsidRDefault="00B963F0">
          <w:pPr>
            <w:pStyle w:val="TOC1"/>
            <w:tabs>
              <w:tab w:val="left" w:pos="480"/>
              <w:tab w:val="right" w:leader="dot" w:pos="9350"/>
            </w:tabs>
            <w:rPr>
              <w:noProof/>
              <w:sz w:val="32"/>
              <w:szCs w:val="32"/>
            </w:rPr>
          </w:pPr>
          <w:hyperlink w:anchor="_Toc164160710" w:history="1">
            <w:r w:rsidR="009E0554" w:rsidRPr="00AC46B1">
              <w:rPr>
                <w:rStyle w:val="Hyperlink"/>
                <w:noProof/>
                <w:sz w:val="32"/>
                <w:szCs w:val="32"/>
              </w:rPr>
              <w:t>IV.</w:t>
            </w:r>
            <w:r w:rsidR="009E0554" w:rsidRPr="00AC46B1">
              <w:rPr>
                <w:noProof/>
                <w:sz w:val="32"/>
                <w:szCs w:val="32"/>
              </w:rPr>
              <w:tab/>
            </w:r>
            <w:r w:rsidR="009E0554" w:rsidRPr="00AC46B1">
              <w:rPr>
                <w:rStyle w:val="Hyperlink"/>
                <w:noProof/>
                <w:sz w:val="32"/>
                <w:szCs w:val="32"/>
              </w:rPr>
              <w:t>Organizational Structure</w:t>
            </w:r>
            <w:r w:rsidR="009E0554" w:rsidRPr="00AC46B1">
              <w:rPr>
                <w:noProof/>
                <w:webHidden/>
                <w:sz w:val="32"/>
                <w:szCs w:val="32"/>
              </w:rPr>
              <w:tab/>
            </w:r>
            <w:r w:rsidR="009E0554" w:rsidRPr="00AC46B1">
              <w:rPr>
                <w:noProof/>
                <w:webHidden/>
                <w:sz w:val="32"/>
                <w:szCs w:val="32"/>
              </w:rPr>
              <w:fldChar w:fldCharType="begin"/>
            </w:r>
            <w:r w:rsidR="009E0554" w:rsidRPr="00AC46B1">
              <w:rPr>
                <w:noProof/>
                <w:webHidden/>
                <w:sz w:val="32"/>
                <w:szCs w:val="32"/>
              </w:rPr>
              <w:instrText xml:space="preserve"> PAGEREF _Toc164160710 \h </w:instrText>
            </w:r>
            <w:r w:rsidR="009E0554" w:rsidRPr="00AC46B1">
              <w:rPr>
                <w:noProof/>
                <w:webHidden/>
                <w:sz w:val="32"/>
                <w:szCs w:val="32"/>
              </w:rPr>
            </w:r>
            <w:r w:rsidR="009E0554" w:rsidRPr="00AC46B1">
              <w:rPr>
                <w:noProof/>
                <w:webHidden/>
                <w:sz w:val="32"/>
                <w:szCs w:val="32"/>
              </w:rPr>
              <w:fldChar w:fldCharType="separate"/>
            </w:r>
            <w:r w:rsidR="009E0554" w:rsidRPr="00AC46B1">
              <w:rPr>
                <w:noProof/>
                <w:webHidden/>
                <w:sz w:val="32"/>
                <w:szCs w:val="32"/>
              </w:rPr>
              <w:t>6</w:t>
            </w:r>
            <w:r w:rsidR="009E0554" w:rsidRPr="00AC46B1">
              <w:rPr>
                <w:noProof/>
                <w:webHidden/>
                <w:sz w:val="32"/>
                <w:szCs w:val="32"/>
              </w:rPr>
              <w:fldChar w:fldCharType="end"/>
            </w:r>
          </w:hyperlink>
        </w:p>
        <w:p w14:paraId="17829C39" w14:textId="3D09F293" w:rsidR="009E0554" w:rsidRPr="00AC46B1" w:rsidRDefault="00B963F0">
          <w:pPr>
            <w:pStyle w:val="TOC1"/>
            <w:tabs>
              <w:tab w:val="left" w:pos="480"/>
              <w:tab w:val="right" w:leader="dot" w:pos="9350"/>
            </w:tabs>
            <w:rPr>
              <w:noProof/>
              <w:sz w:val="32"/>
              <w:szCs w:val="32"/>
            </w:rPr>
          </w:pPr>
          <w:hyperlink w:anchor="_Toc164160711" w:history="1">
            <w:r w:rsidR="009E0554" w:rsidRPr="00AC46B1">
              <w:rPr>
                <w:rStyle w:val="Hyperlink"/>
                <w:noProof/>
                <w:sz w:val="32"/>
                <w:szCs w:val="32"/>
              </w:rPr>
              <w:t>V.</w:t>
            </w:r>
            <w:r w:rsidR="009E0554" w:rsidRPr="00AC46B1">
              <w:rPr>
                <w:noProof/>
                <w:sz w:val="32"/>
                <w:szCs w:val="32"/>
              </w:rPr>
              <w:tab/>
            </w:r>
            <w:r w:rsidR="009E0554" w:rsidRPr="00AC46B1">
              <w:rPr>
                <w:rStyle w:val="Hyperlink"/>
                <w:noProof/>
                <w:sz w:val="32"/>
                <w:szCs w:val="32"/>
              </w:rPr>
              <w:t>Requirements</w:t>
            </w:r>
            <w:r w:rsidR="009E0554" w:rsidRPr="00AC46B1">
              <w:rPr>
                <w:noProof/>
                <w:webHidden/>
                <w:sz w:val="32"/>
                <w:szCs w:val="32"/>
              </w:rPr>
              <w:tab/>
            </w:r>
            <w:r w:rsidR="009E0554" w:rsidRPr="00AC46B1">
              <w:rPr>
                <w:noProof/>
                <w:webHidden/>
                <w:sz w:val="32"/>
                <w:szCs w:val="32"/>
              </w:rPr>
              <w:fldChar w:fldCharType="begin"/>
            </w:r>
            <w:r w:rsidR="009E0554" w:rsidRPr="00AC46B1">
              <w:rPr>
                <w:noProof/>
                <w:webHidden/>
                <w:sz w:val="32"/>
                <w:szCs w:val="32"/>
              </w:rPr>
              <w:instrText xml:space="preserve"> PAGEREF _Toc164160711 \h </w:instrText>
            </w:r>
            <w:r w:rsidR="009E0554" w:rsidRPr="00AC46B1">
              <w:rPr>
                <w:noProof/>
                <w:webHidden/>
                <w:sz w:val="32"/>
                <w:szCs w:val="32"/>
              </w:rPr>
            </w:r>
            <w:r w:rsidR="009E0554" w:rsidRPr="00AC46B1">
              <w:rPr>
                <w:noProof/>
                <w:webHidden/>
                <w:sz w:val="32"/>
                <w:szCs w:val="32"/>
              </w:rPr>
              <w:fldChar w:fldCharType="separate"/>
            </w:r>
            <w:r w:rsidR="009E0554" w:rsidRPr="00AC46B1">
              <w:rPr>
                <w:noProof/>
                <w:webHidden/>
                <w:sz w:val="32"/>
                <w:szCs w:val="32"/>
              </w:rPr>
              <w:t>6</w:t>
            </w:r>
            <w:r w:rsidR="009E0554" w:rsidRPr="00AC46B1">
              <w:rPr>
                <w:noProof/>
                <w:webHidden/>
                <w:sz w:val="32"/>
                <w:szCs w:val="32"/>
              </w:rPr>
              <w:fldChar w:fldCharType="end"/>
            </w:r>
          </w:hyperlink>
        </w:p>
        <w:p w14:paraId="08AFE9D0" w14:textId="25783FF9" w:rsidR="009E0554" w:rsidRPr="00AC46B1" w:rsidRDefault="00B963F0">
          <w:pPr>
            <w:pStyle w:val="TOC1"/>
            <w:tabs>
              <w:tab w:val="left" w:pos="720"/>
              <w:tab w:val="right" w:leader="dot" w:pos="9350"/>
            </w:tabs>
            <w:rPr>
              <w:noProof/>
              <w:sz w:val="32"/>
              <w:szCs w:val="32"/>
            </w:rPr>
          </w:pPr>
          <w:hyperlink w:anchor="_Toc164160712" w:history="1">
            <w:r w:rsidR="009E0554" w:rsidRPr="00AC46B1">
              <w:rPr>
                <w:rStyle w:val="Hyperlink"/>
                <w:noProof/>
                <w:sz w:val="32"/>
                <w:szCs w:val="32"/>
              </w:rPr>
              <w:t>VI.</w:t>
            </w:r>
            <w:r w:rsidR="009E0554" w:rsidRPr="00AC46B1">
              <w:rPr>
                <w:noProof/>
                <w:sz w:val="32"/>
                <w:szCs w:val="32"/>
              </w:rPr>
              <w:t xml:space="preserve">   </w:t>
            </w:r>
            <w:r w:rsidR="009E0554" w:rsidRPr="00AC46B1">
              <w:rPr>
                <w:rStyle w:val="Hyperlink"/>
                <w:noProof/>
                <w:sz w:val="32"/>
                <w:szCs w:val="32"/>
              </w:rPr>
              <w:t>Appendices</w:t>
            </w:r>
            <w:r w:rsidR="009E0554" w:rsidRPr="00AC46B1">
              <w:rPr>
                <w:noProof/>
                <w:webHidden/>
                <w:sz w:val="32"/>
                <w:szCs w:val="32"/>
              </w:rPr>
              <w:tab/>
            </w:r>
            <w:r w:rsidR="009E0554" w:rsidRPr="00AC46B1">
              <w:rPr>
                <w:noProof/>
                <w:webHidden/>
                <w:sz w:val="32"/>
                <w:szCs w:val="32"/>
              </w:rPr>
              <w:fldChar w:fldCharType="begin"/>
            </w:r>
            <w:r w:rsidR="009E0554" w:rsidRPr="00AC46B1">
              <w:rPr>
                <w:noProof/>
                <w:webHidden/>
                <w:sz w:val="32"/>
                <w:szCs w:val="32"/>
              </w:rPr>
              <w:instrText xml:space="preserve"> PAGEREF _Toc164160712 \h </w:instrText>
            </w:r>
            <w:r w:rsidR="009E0554" w:rsidRPr="00AC46B1">
              <w:rPr>
                <w:noProof/>
                <w:webHidden/>
                <w:sz w:val="32"/>
                <w:szCs w:val="32"/>
              </w:rPr>
            </w:r>
            <w:r w:rsidR="009E0554" w:rsidRPr="00AC46B1">
              <w:rPr>
                <w:noProof/>
                <w:webHidden/>
                <w:sz w:val="32"/>
                <w:szCs w:val="32"/>
              </w:rPr>
              <w:fldChar w:fldCharType="separate"/>
            </w:r>
            <w:r w:rsidR="009E0554" w:rsidRPr="00AC46B1">
              <w:rPr>
                <w:noProof/>
                <w:webHidden/>
                <w:sz w:val="32"/>
                <w:szCs w:val="32"/>
              </w:rPr>
              <w:t>12</w:t>
            </w:r>
            <w:r w:rsidR="009E0554" w:rsidRPr="00AC46B1">
              <w:rPr>
                <w:noProof/>
                <w:webHidden/>
                <w:sz w:val="32"/>
                <w:szCs w:val="32"/>
              </w:rPr>
              <w:fldChar w:fldCharType="end"/>
            </w:r>
          </w:hyperlink>
        </w:p>
        <w:p w14:paraId="742BA0AD" w14:textId="5FA97F64" w:rsidR="004C680C" w:rsidRDefault="004C680C">
          <w:r w:rsidRPr="00AC46B1">
            <w:rPr>
              <w:b/>
              <w:bCs/>
              <w:noProof/>
              <w:sz w:val="32"/>
              <w:szCs w:val="32"/>
            </w:rPr>
            <w:fldChar w:fldCharType="end"/>
          </w:r>
        </w:p>
      </w:sdtContent>
    </w:sdt>
    <w:p w14:paraId="1E4C7D97" w14:textId="77777777" w:rsidR="004C680C" w:rsidRDefault="004C680C" w:rsidP="00E95600">
      <w:pPr>
        <w:jc w:val="center"/>
        <w:rPr>
          <w:sz w:val="28"/>
          <w:szCs w:val="28"/>
        </w:rPr>
      </w:pPr>
    </w:p>
    <w:p w14:paraId="7DB229F8" w14:textId="77777777" w:rsidR="004C680C" w:rsidRDefault="004C680C" w:rsidP="00E95600">
      <w:pPr>
        <w:jc w:val="center"/>
        <w:rPr>
          <w:sz w:val="28"/>
          <w:szCs w:val="28"/>
        </w:rPr>
      </w:pPr>
    </w:p>
    <w:p w14:paraId="3FFF398F" w14:textId="77777777" w:rsidR="004C680C" w:rsidRDefault="004C680C" w:rsidP="00E95600">
      <w:pPr>
        <w:jc w:val="center"/>
        <w:rPr>
          <w:sz w:val="28"/>
          <w:szCs w:val="28"/>
        </w:rPr>
      </w:pPr>
    </w:p>
    <w:p w14:paraId="409EC32F" w14:textId="77777777" w:rsidR="004C680C" w:rsidRDefault="004C680C" w:rsidP="00E95600">
      <w:pPr>
        <w:jc w:val="center"/>
        <w:rPr>
          <w:sz w:val="28"/>
          <w:szCs w:val="28"/>
        </w:rPr>
      </w:pPr>
    </w:p>
    <w:p w14:paraId="556CAB57" w14:textId="77777777" w:rsidR="004C680C" w:rsidRDefault="004C680C" w:rsidP="00E95600">
      <w:pPr>
        <w:jc w:val="center"/>
        <w:rPr>
          <w:sz w:val="28"/>
          <w:szCs w:val="28"/>
        </w:rPr>
      </w:pPr>
    </w:p>
    <w:p w14:paraId="30F3111B" w14:textId="77777777" w:rsidR="004C680C" w:rsidRDefault="004C680C" w:rsidP="00E95600">
      <w:pPr>
        <w:jc w:val="center"/>
        <w:rPr>
          <w:sz w:val="28"/>
          <w:szCs w:val="28"/>
        </w:rPr>
      </w:pPr>
    </w:p>
    <w:p w14:paraId="0472930F" w14:textId="77777777" w:rsidR="004C680C" w:rsidRDefault="004C680C" w:rsidP="00E95600">
      <w:pPr>
        <w:jc w:val="center"/>
        <w:rPr>
          <w:sz w:val="28"/>
          <w:szCs w:val="28"/>
        </w:rPr>
      </w:pPr>
    </w:p>
    <w:p w14:paraId="6699C6B4" w14:textId="77777777" w:rsidR="004C680C" w:rsidRDefault="004C680C" w:rsidP="00E95600">
      <w:pPr>
        <w:jc w:val="center"/>
        <w:rPr>
          <w:sz w:val="28"/>
          <w:szCs w:val="28"/>
        </w:rPr>
      </w:pPr>
    </w:p>
    <w:p w14:paraId="32E3796F" w14:textId="77777777" w:rsidR="004C680C" w:rsidRDefault="004C680C" w:rsidP="00E95600">
      <w:pPr>
        <w:jc w:val="center"/>
        <w:rPr>
          <w:sz w:val="28"/>
          <w:szCs w:val="28"/>
        </w:rPr>
      </w:pPr>
    </w:p>
    <w:p w14:paraId="2EEC3B06" w14:textId="77777777" w:rsidR="004C680C" w:rsidRDefault="004C680C" w:rsidP="00AC46B1">
      <w:pPr>
        <w:rPr>
          <w:sz w:val="28"/>
          <w:szCs w:val="28"/>
        </w:rPr>
      </w:pPr>
    </w:p>
    <w:p w14:paraId="3942A0A8" w14:textId="77777777" w:rsidR="00AC46B1" w:rsidRDefault="00AC46B1" w:rsidP="00AC46B1">
      <w:pPr>
        <w:rPr>
          <w:sz w:val="28"/>
          <w:szCs w:val="28"/>
        </w:rPr>
      </w:pPr>
    </w:p>
    <w:p w14:paraId="38FB1983" w14:textId="77777777" w:rsidR="004C680C" w:rsidRDefault="004C680C" w:rsidP="00E95600">
      <w:pPr>
        <w:jc w:val="center"/>
        <w:rPr>
          <w:sz w:val="28"/>
          <w:szCs w:val="28"/>
        </w:rPr>
      </w:pPr>
    </w:p>
    <w:p w14:paraId="0DF59B91" w14:textId="77777777" w:rsidR="004C680C" w:rsidRDefault="004C680C" w:rsidP="00E95600">
      <w:pPr>
        <w:jc w:val="center"/>
        <w:rPr>
          <w:sz w:val="28"/>
          <w:szCs w:val="28"/>
        </w:rPr>
      </w:pPr>
    </w:p>
    <w:p w14:paraId="02BB00FF" w14:textId="77777777" w:rsidR="004C680C" w:rsidRDefault="004C680C" w:rsidP="00E95600">
      <w:pPr>
        <w:jc w:val="center"/>
        <w:rPr>
          <w:sz w:val="28"/>
          <w:szCs w:val="28"/>
        </w:rPr>
      </w:pPr>
    </w:p>
    <w:p w14:paraId="4010A159" w14:textId="77777777" w:rsidR="004C680C" w:rsidRDefault="004C680C" w:rsidP="00E95600">
      <w:pPr>
        <w:jc w:val="center"/>
        <w:rPr>
          <w:sz w:val="28"/>
          <w:szCs w:val="28"/>
        </w:rPr>
      </w:pPr>
    </w:p>
    <w:p w14:paraId="5677203E" w14:textId="77777777" w:rsidR="004C680C" w:rsidRDefault="004C680C" w:rsidP="00E95600">
      <w:pPr>
        <w:jc w:val="center"/>
        <w:rPr>
          <w:sz w:val="28"/>
          <w:szCs w:val="28"/>
        </w:rPr>
      </w:pPr>
    </w:p>
    <w:p w14:paraId="3239379F" w14:textId="2FA8BF24" w:rsidR="004C680C" w:rsidRPr="004C680C" w:rsidRDefault="004C680C" w:rsidP="004C680C">
      <w:pPr>
        <w:pStyle w:val="Heading1"/>
        <w:numPr>
          <w:ilvl w:val="0"/>
          <w:numId w:val="6"/>
        </w:numPr>
        <w:spacing w:after="240"/>
      </w:pPr>
      <w:bookmarkStart w:id="0" w:name="_Toc164160707"/>
      <w:r>
        <w:lastRenderedPageBreak/>
        <w:t>Introduction</w:t>
      </w:r>
      <w:bookmarkEnd w:id="0"/>
    </w:p>
    <w:p w14:paraId="595FDBE5" w14:textId="77777777" w:rsidR="004C680C" w:rsidRDefault="004C680C" w:rsidP="004C680C">
      <w:pPr>
        <w:spacing w:after="240"/>
      </w:pPr>
      <w:r>
        <w:t>The Mount Ascutney Regional Commission (MARC) receives federal funding to support several planning programs, including transportation, brownfields, Vermont Community Development Program/CDBG, HUD Sustainable Communities, hazard mitigation planning, and other projects. As a subrecipient of such funding, this organization is subject to State and Federal rules and regulations that prohibit discrimination in all activities, whether federally funded or not.</w:t>
      </w:r>
    </w:p>
    <w:p w14:paraId="4D83C605" w14:textId="77777777" w:rsidR="004C680C" w:rsidRDefault="004C680C" w:rsidP="004C680C">
      <w:r>
        <w:t>Title VI of the Civil Rights Act of 1964, the Civil Rights Restoration Act of 1987, and related Federal and State statutes and regulations, prohibits discrimination and provides that no person in the United States shall, on the grounds of race, color, national origin, gender, age, low income status, or mental or physical disability be excluded from participation in, be denied the benefits of, or be subjected to discrimination under any program or activity receiving federal financial assistance.</w:t>
      </w:r>
    </w:p>
    <w:p w14:paraId="535081E3" w14:textId="77777777" w:rsidR="004C680C" w:rsidRDefault="004C680C" w:rsidP="004C680C">
      <w:r>
        <w:t>A key element for addressing Title VI at the planning phase is having an effective public involvement process. That process must be proactive and provide complete information, timely public notice, full public access to key decisions, and an opportunity for early and continuing involvement.  A public involvement process should also include a process for seeking out and considering the needs of those who are traditionally ignored or underserved (e.g., by existing transportation systems).</w:t>
      </w:r>
    </w:p>
    <w:p w14:paraId="616F9788" w14:textId="72A3D8EB" w:rsidR="00DA701B" w:rsidRDefault="004C680C" w:rsidP="004C680C">
      <w:r>
        <w:t>The purpose of this document is to serve as a system of procedures and mechanisms to assure non-discrimination in all MARC’s programs, activities, and services, whether federally funded or not (49 CFR 21.7 &amp; 23 CFR 200.5(p)).</w:t>
      </w:r>
    </w:p>
    <w:p w14:paraId="469D27C2" w14:textId="75A4CA04" w:rsidR="00DA701B" w:rsidRDefault="00DA701B" w:rsidP="00DA701B">
      <w:pPr>
        <w:pStyle w:val="Heading1"/>
        <w:numPr>
          <w:ilvl w:val="0"/>
          <w:numId w:val="6"/>
        </w:numPr>
        <w:spacing w:after="240"/>
      </w:pPr>
      <w:bookmarkStart w:id="1" w:name="_Toc164160708"/>
      <w:r>
        <w:t>Authorities</w:t>
      </w:r>
      <w:bookmarkEnd w:id="1"/>
    </w:p>
    <w:p w14:paraId="78024442" w14:textId="4AE43992" w:rsidR="00DA701B" w:rsidRDefault="00DA701B" w:rsidP="00DA701B">
      <w:pPr>
        <w:spacing w:after="240"/>
      </w:pPr>
      <w:r w:rsidRPr="00DA701B">
        <w:t>As a recipient of federal funding assistance, the following rules and regulations apply to the activities of this organization:</w:t>
      </w:r>
    </w:p>
    <w:p w14:paraId="1940F00E" w14:textId="77777777" w:rsidR="00DA701B" w:rsidRPr="00DA701B" w:rsidRDefault="00DA701B" w:rsidP="00DA701B">
      <w:pPr>
        <w:pStyle w:val="ListParagraph"/>
        <w:numPr>
          <w:ilvl w:val="0"/>
          <w:numId w:val="7"/>
        </w:numPr>
        <w:spacing w:after="240"/>
      </w:pPr>
      <w:r w:rsidRPr="00DA701B">
        <w:rPr>
          <w:i/>
          <w:iCs/>
        </w:rPr>
        <w:t>Title VI of The Civil Rights Act of 1964</w:t>
      </w:r>
      <w:r w:rsidRPr="00DA701B">
        <w:t>: No person in the United States shall, on the ground of race, color, or national origin, be excluded from participation in, be denied the benefits of, or be subjected to discrimination under any program or activity receiving Federal financial assistance. (42 U.S.C. § 2000d)</w:t>
      </w:r>
    </w:p>
    <w:p w14:paraId="12D803B5" w14:textId="77777777" w:rsidR="00DA701B" w:rsidRPr="00DA701B" w:rsidRDefault="00DA701B" w:rsidP="00DA701B">
      <w:pPr>
        <w:pStyle w:val="ListParagraph"/>
        <w:numPr>
          <w:ilvl w:val="0"/>
          <w:numId w:val="7"/>
        </w:numPr>
        <w:spacing w:after="0"/>
        <w:contextualSpacing w:val="0"/>
        <w:jc w:val="both"/>
        <w:rPr>
          <w:rFonts w:asciiTheme="minorHAnsi" w:hAnsiTheme="minorHAnsi" w:cstheme="minorHAnsi"/>
        </w:rPr>
      </w:pPr>
      <w:r w:rsidRPr="00DA701B">
        <w:rPr>
          <w:rFonts w:asciiTheme="minorHAnsi" w:hAnsiTheme="minorHAnsi" w:cstheme="minorHAnsi"/>
          <w:i/>
        </w:rPr>
        <w:t>Civil Rights Restoration Act of 1987</w:t>
      </w:r>
      <w:r w:rsidRPr="00DA701B">
        <w:rPr>
          <w:rFonts w:asciiTheme="minorHAnsi" w:hAnsiTheme="minorHAnsi" w:cstheme="minorHAnsi"/>
        </w:rPr>
        <w:t>: Restored original intent &amp; scope of Title VI to include all programs &amp; activities of Federal aid recipients and contractors whether federally funded or not.</w:t>
      </w:r>
    </w:p>
    <w:p w14:paraId="02F490CD" w14:textId="77777777" w:rsidR="00DA701B" w:rsidRPr="00DA701B" w:rsidRDefault="00DA701B" w:rsidP="00DA701B">
      <w:pPr>
        <w:pStyle w:val="ListParagraph"/>
        <w:numPr>
          <w:ilvl w:val="0"/>
          <w:numId w:val="7"/>
        </w:numPr>
        <w:spacing w:after="0"/>
        <w:contextualSpacing w:val="0"/>
        <w:jc w:val="both"/>
        <w:rPr>
          <w:rFonts w:asciiTheme="minorHAnsi" w:hAnsiTheme="minorHAnsi" w:cstheme="minorHAnsi"/>
        </w:rPr>
      </w:pPr>
      <w:r w:rsidRPr="00DA701B">
        <w:rPr>
          <w:rFonts w:asciiTheme="minorHAnsi" w:hAnsiTheme="minorHAnsi" w:cstheme="minorHAnsi"/>
          <w:i/>
        </w:rPr>
        <w:t>Executive Order 12250: DOJ Leadership &amp; Coordination of Non-discrimination Law</w:t>
      </w:r>
      <w:r w:rsidRPr="00DA701B">
        <w:rPr>
          <w:rFonts w:asciiTheme="minorHAnsi" w:hAnsiTheme="minorHAnsi" w:cstheme="minorHAnsi"/>
        </w:rPr>
        <w:t xml:space="preserve">s: The U.S. Attorney General shall coordinate the implementation and enforcement by Executive agencies of various non-discrimination provisions of (a) Title VI of the Civil Rights Act of 1964 (42 U.S.C. 2000d et seq.); (b) Title IX of the Education Amendments of 1972 (20 U.S.C. 1681 et seq.); (c) Section 504 of the Rehabilitation Act of 1973, as amended (29 U.S.C. 794); (d) Any other provision of Federal statutory law which provides, in whole or </w:t>
      </w:r>
      <w:r w:rsidRPr="00DA701B">
        <w:rPr>
          <w:rFonts w:asciiTheme="minorHAnsi" w:hAnsiTheme="minorHAnsi" w:cstheme="minorHAnsi"/>
        </w:rPr>
        <w:lastRenderedPageBreak/>
        <w:t>in part, that no person in the United States shall, on the ground of race, color, national origin, handicap, religion, or sex, be excluded from participation in, be denied the benefits of, or be subject to discrimination under any program or activity receiving Federal financial assistance.</w:t>
      </w:r>
    </w:p>
    <w:p w14:paraId="184B6C82" w14:textId="77777777" w:rsidR="00DA701B" w:rsidRPr="00DA701B" w:rsidRDefault="00DA701B" w:rsidP="00DA701B">
      <w:pPr>
        <w:pStyle w:val="ListParagraph"/>
        <w:numPr>
          <w:ilvl w:val="0"/>
          <w:numId w:val="7"/>
        </w:numPr>
        <w:spacing w:after="0"/>
        <w:contextualSpacing w:val="0"/>
        <w:jc w:val="both"/>
        <w:rPr>
          <w:rFonts w:asciiTheme="minorHAnsi" w:hAnsiTheme="minorHAnsi" w:cstheme="minorHAnsi"/>
        </w:rPr>
      </w:pPr>
      <w:r w:rsidRPr="00DA701B">
        <w:rPr>
          <w:rFonts w:asciiTheme="minorHAnsi" w:hAnsiTheme="minorHAnsi" w:cstheme="minorHAnsi"/>
          <w:i/>
        </w:rPr>
        <w:t>Executive Order 12898: Federal Actions to Address Environmental Justice in Minority Populations and Low-Income Population</w:t>
      </w:r>
      <w:r w:rsidRPr="00DA701B">
        <w:rPr>
          <w:rFonts w:asciiTheme="minorHAnsi" w:hAnsiTheme="minorHAnsi" w:cstheme="minorHAnsi"/>
        </w:rPr>
        <w:t>s: Each Federal agency shall conduct its programs, policies, and activities [including those of recipients (see FHWA Order 6640.23(2)(h))] that substantially affect human health or the environment, in a manner that ensures that such programs, policies, and activities do not have the effect of excluding persons (including populations) from participation in, denying persons (including populations) the benefits of, or subjecting persons (including populations) to discrimination under, such, programs, policies, and activities, because of their race, color, or national origin.</w:t>
      </w:r>
    </w:p>
    <w:p w14:paraId="6A9C1D9F" w14:textId="77777777" w:rsidR="00DA701B" w:rsidRPr="00DA701B" w:rsidRDefault="00DA701B" w:rsidP="00DA701B">
      <w:pPr>
        <w:pStyle w:val="ListParagraph"/>
        <w:numPr>
          <w:ilvl w:val="0"/>
          <w:numId w:val="7"/>
        </w:numPr>
        <w:spacing w:after="0"/>
        <w:contextualSpacing w:val="0"/>
        <w:jc w:val="both"/>
        <w:rPr>
          <w:rFonts w:asciiTheme="minorHAnsi" w:hAnsiTheme="minorHAnsi" w:cstheme="minorHAnsi"/>
        </w:rPr>
      </w:pPr>
      <w:r w:rsidRPr="00DA701B">
        <w:rPr>
          <w:rFonts w:asciiTheme="minorHAnsi" w:hAnsiTheme="minorHAnsi" w:cstheme="minorHAnsi"/>
          <w:i/>
          <w:iCs/>
        </w:rPr>
        <w:t>Executive Order 13166: Improving Access to Services for Persons with Limited English Proficiency (LEP)</w:t>
      </w:r>
      <w:r w:rsidRPr="00DA701B">
        <w:rPr>
          <w:rFonts w:asciiTheme="minorHAnsi" w:hAnsiTheme="minorHAnsi" w:cstheme="minorHAnsi"/>
        </w:rPr>
        <w:t xml:space="preserve">: Presidential directive to federal agencies to ensure meaningful access to services for LEP people. An LEP person does not speak English as primary language and has limited ability to read, speak, </w:t>
      </w:r>
      <w:bookmarkStart w:id="2" w:name="_Int_z9hYhGfj"/>
      <w:r w:rsidRPr="00DA701B">
        <w:rPr>
          <w:rFonts w:asciiTheme="minorHAnsi" w:hAnsiTheme="minorHAnsi" w:cstheme="minorHAnsi"/>
        </w:rPr>
        <w:t>write</w:t>
      </w:r>
      <w:bookmarkEnd w:id="2"/>
      <w:r w:rsidRPr="00DA701B">
        <w:rPr>
          <w:rFonts w:asciiTheme="minorHAnsi" w:hAnsiTheme="minorHAnsi" w:cstheme="minorHAnsi"/>
        </w:rPr>
        <w:t xml:space="preserve"> or understand English.  Failure to provide LEP person services or meaningful access to services [may] constitute national origin discrimination.</w:t>
      </w:r>
    </w:p>
    <w:p w14:paraId="6FC5E5B1" w14:textId="77777777" w:rsidR="00DA701B" w:rsidRPr="00DA701B" w:rsidRDefault="00DA701B" w:rsidP="00DA701B">
      <w:pPr>
        <w:pStyle w:val="ListParagraph"/>
        <w:numPr>
          <w:ilvl w:val="0"/>
          <w:numId w:val="7"/>
        </w:numPr>
        <w:spacing w:after="0"/>
        <w:contextualSpacing w:val="0"/>
        <w:jc w:val="both"/>
        <w:rPr>
          <w:rFonts w:asciiTheme="minorHAnsi" w:hAnsiTheme="minorHAnsi" w:cstheme="minorHAnsi"/>
        </w:rPr>
      </w:pPr>
      <w:r w:rsidRPr="00DA701B">
        <w:rPr>
          <w:rFonts w:asciiTheme="minorHAnsi" w:hAnsiTheme="minorHAnsi" w:cstheme="minorHAnsi"/>
          <w:i/>
          <w:iCs/>
        </w:rPr>
        <w:t xml:space="preserve">Section 504 of the 1973 Rehabilitation Act (29 USC 790) Handicap/Disability: </w:t>
      </w:r>
      <w:r w:rsidRPr="00DA701B">
        <w:rPr>
          <w:rFonts w:asciiTheme="minorHAnsi" w:hAnsiTheme="minorHAnsi" w:cstheme="minorHAnsi"/>
        </w:rPr>
        <w:t>No QUALIFIED HANDICAPPED PERSON shall, solely by reason of his handicap, be excluded from participation in, be denied the benefits of, or be subjected to discrimination under any program or activity that receives or benefits from Federal financial assistance.</w:t>
      </w:r>
    </w:p>
    <w:p w14:paraId="264A2367" w14:textId="77777777" w:rsidR="00DA701B" w:rsidRPr="00DA701B" w:rsidRDefault="00DA701B" w:rsidP="00DA701B">
      <w:pPr>
        <w:pStyle w:val="ListParagraph"/>
        <w:numPr>
          <w:ilvl w:val="0"/>
          <w:numId w:val="7"/>
        </w:numPr>
        <w:spacing w:after="0"/>
        <w:contextualSpacing w:val="0"/>
        <w:jc w:val="both"/>
        <w:rPr>
          <w:rFonts w:asciiTheme="minorHAnsi" w:hAnsiTheme="minorHAnsi" w:cstheme="minorHAnsi"/>
        </w:rPr>
      </w:pPr>
      <w:r w:rsidRPr="00DA701B">
        <w:rPr>
          <w:rFonts w:asciiTheme="minorHAnsi" w:hAnsiTheme="minorHAnsi" w:cstheme="minorHAnsi"/>
          <w:i/>
          <w:iCs/>
        </w:rPr>
        <w:t>1973 Federal-aid Highway Act (23 USC 324) Sex:</w:t>
      </w:r>
      <w:r w:rsidRPr="00DA701B">
        <w:rPr>
          <w:rFonts w:asciiTheme="minorHAnsi" w:hAnsiTheme="minorHAnsi" w:cstheme="minorHAnsi"/>
        </w:rPr>
        <w:t xml:space="preserve"> No person shall on the grounds of SEX be excluded from participation in, be denied the benefits of, or be subjected to discrimination under any program or activity receiving Federal assistance under this title or carried on under this title.</w:t>
      </w:r>
    </w:p>
    <w:p w14:paraId="6E973476" w14:textId="277DD30D" w:rsidR="00DA701B" w:rsidRPr="00DA701B" w:rsidRDefault="00DA701B" w:rsidP="00DA701B">
      <w:pPr>
        <w:pStyle w:val="ListParagraph"/>
        <w:numPr>
          <w:ilvl w:val="0"/>
          <w:numId w:val="7"/>
        </w:numPr>
        <w:spacing w:after="0"/>
        <w:contextualSpacing w:val="0"/>
        <w:jc w:val="both"/>
        <w:rPr>
          <w:rFonts w:asciiTheme="minorHAnsi" w:hAnsiTheme="minorHAnsi" w:cstheme="minorHAnsi"/>
        </w:rPr>
      </w:pPr>
      <w:r w:rsidRPr="00DA701B">
        <w:rPr>
          <w:rFonts w:asciiTheme="minorHAnsi" w:hAnsiTheme="minorHAnsi" w:cstheme="minorHAnsi"/>
          <w:i/>
          <w:iCs/>
        </w:rPr>
        <w:t>1975 Age Discrimination Act (42 USC 6101) Age:</w:t>
      </w:r>
      <w:r w:rsidRPr="00DA701B">
        <w:rPr>
          <w:rFonts w:asciiTheme="minorHAnsi" w:hAnsiTheme="minorHAnsi" w:cstheme="minorHAnsi"/>
        </w:rPr>
        <w:t xml:space="preserve"> No person shall </w:t>
      </w:r>
      <w:proofErr w:type="gramStart"/>
      <w:r w:rsidRPr="00DA701B">
        <w:rPr>
          <w:rFonts w:asciiTheme="minorHAnsi" w:hAnsiTheme="minorHAnsi" w:cstheme="minorHAnsi"/>
        </w:rPr>
        <w:t>on the basis of</w:t>
      </w:r>
      <w:proofErr w:type="gramEnd"/>
      <w:r w:rsidRPr="00DA701B">
        <w:rPr>
          <w:rFonts w:asciiTheme="minorHAnsi" w:hAnsiTheme="minorHAnsi" w:cstheme="minorHAnsi"/>
        </w:rPr>
        <w:t xml:space="preserve"> AGE, be excluded from participation in, be denied the benefits of or be subjected to discrimination under any program or activity receiving Federal financial assistance.</w:t>
      </w:r>
    </w:p>
    <w:p w14:paraId="380559C4" w14:textId="77777777" w:rsidR="00DA701B" w:rsidRPr="00DA701B" w:rsidRDefault="00DA701B" w:rsidP="00DA701B">
      <w:pPr>
        <w:pStyle w:val="ListParagraph"/>
        <w:numPr>
          <w:ilvl w:val="0"/>
          <w:numId w:val="7"/>
        </w:numPr>
        <w:spacing w:after="0"/>
        <w:contextualSpacing w:val="0"/>
        <w:jc w:val="both"/>
        <w:rPr>
          <w:rFonts w:asciiTheme="minorHAnsi" w:hAnsiTheme="minorHAnsi" w:cstheme="minorHAnsi"/>
        </w:rPr>
      </w:pPr>
      <w:r w:rsidRPr="00DA701B">
        <w:rPr>
          <w:rFonts w:asciiTheme="minorHAnsi" w:hAnsiTheme="minorHAnsi" w:cstheme="minorHAnsi"/>
          <w:i/>
          <w:iCs/>
        </w:rPr>
        <w:t>49 CFR Part 21:</w:t>
      </w:r>
      <w:r w:rsidRPr="00DA701B">
        <w:rPr>
          <w:rFonts w:asciiTheme="minorHAnsi" w:hAnsiTheme="minorHAnsi" w:cstheme="minorHAnsi"/>
        </w:rPr>
        <w:t xml:space="preserve"> Non-discrimination in </w:t>
      </w:r>
      <w:bookmarkStart w:id="3" w:name="_Int_FUMIhLAN"/>
      <w:r w:rsidRPr="00DA701B">
        <w:rPr>
          <w:rFonts w:asciiTheme="minorHAnsi" w:hAnsiTheme="minorHAnsi" w:cstheme="minorHAnsi"/>
        </w:rPr>
        <w:t>Federally-Assisted</w:t>
      </w:r>
      <w:bookmarkEnd w:id="3"/>
      <w:r w:rsidRPr="00DA701B">
        <w:rPr>
          <w:rFonts w:asciiTheme="minorHAnsi" w:hAnsiTheme="minorHAnsi" w:cstheme="minorHAnsi"/>
        </w:rPr>
        <w:t xml:space="preserve"> Programs of the Department of Transportation: No person in the United States shall, on the grounds of race, color, or national origin, be excluded from participation in, be denied the benefits of, or be otherwise subjected to discrimination under any program or activity receiving Federal financial assistance from the Department of Transportation.</w:t>
      </w:r>
    </w:p>
    <w:p w14:paraId="0DC1174C" w14:textId="77777777" w:rsidR="00DA701B" w:rsidRPr="00DA701B" w:rsidRDefault="00DA701B" w:rsidP="00DA701B">
      <w:pPr>
        <w:pStyle w:val="ListParagraph"/>
        <w:numPr>
          <w:ilvl w:val="0"/>
          <w:numId w:val="7"/>
        </w:numPr>
        <w:spacing w:after="0"/>
        <w:contextualSpacing w:val="0"/>
        <w:jc w:val="both"/>
        <w:rPr>
          <w:rFonts w:asciiTheme="minorHAnsi" w:hAnsiTheme="minorHAnsi" w:cstheme="minorHAnsi"/>
        </w:rPr>
      </w:pPr>
      <w:r w:rsidRPr="00DA701B">
        <w:rPr>
          <w:rFonts w:asciiTheme="minorHAnsi" w:hAnsiTheme="minorHAnsi" w:cstheme="minorHAnsi"/>
          <w:i/>
          <w:iCs/>
        </w:rPr>
        <w:t>23 CFR Part 200:</w:t>
      </w:r>
      <w:r w:rsidRPr="00DA701B">
        <w:rPr>
          <w:rFonts w:asciiTheme="minorHAnsi" w:hAnsiTheme="minorHAnsi" w:cstheme="minorHAnsi"/>
        </w:rPr>
        <w:t xml:space="preserve"> Title VI Program and Related Statutes: To provide guidelines for: (a) Implementing the Federal Highway Administration (FHWA) Title VI compliance program under Title VI of the Civil Rights Act of 1964 and related civil rights laws and regulations, and (b) Conducting Title VI program compliance reviews relative to the Federal aid highway program.</w:t>
      </w:r>
    </w:p>
    <w:p w14:paraId="1D057C57" w14:textId="0CD92E43" w:rsidR="00DA701B" w:rsidRPr="00680C2B" w:rsidRDefault="00DA701B" w:rsidP="00680C2B">
      <w:pPr>
        <w:pStyle w:val="ListParagraph"/>
        <w:numPr>
          <w:ilvl w:val="0"/>
          <w:numId w:val="7"/>
        </w:numPr>
        <w:contextualSpacing w:val="0"/>
        <w:jc w:val="both"/>
        <w:rPr>
          <w:rFonts w:asciiTheme="minorHAnsi" w:hAnsiTheme="minorHAnsi" w:cstheme="minorHAnsi"/>
        </w:rPr>
      </w:pPr>
      <w:r w:rsidRPr="00DA701B">
        <w:rPr>
          <w:rFonts w:asciiTheme="minorHAnsi" w:hAnsiTheme="minorHAnsi" w:cstheme="minorHAnsi"/>
          <w:i/>
          <w:iCs/>
        </w:rPr>
        <w:t>1970 Uniform Act (42 USC 4601):</w:t>
      </w:r>
      <w:r w:rsidRPr="00DA701B">
        <w:rPr>
          <w:rFonts w:asciiTheme="minorHAnsi" w:hAnsiTheme="minorHAnsi" w:cstheme="minorHAnsi"/>
        </w:rPr>
        <w:t xml:space="preserve"> Uniform Relocation Assistance and Real Property Acquisition Policies Act of 1970: The Uniform Act, provides important protections and </w:t>
      </w:r>
      <w:r w:rsidRPr="00DA701B">
        <w:rPr>
          <w:rFonts w:asciiTheme="minorHAnsi" w:hAnsiTheme="minorHAnsi" w:cstheme="minorHAnsi"/>
        </w:rPr>
        <w:lastRenderedPageBreak/>
        <w:t xml:space="preserve">assistance for people affected by Federally-funded projects. This law was enacted by Congress to ensure that people whose real property is acquired, or who move </w:t>
      </w:r>
      <w:bookmarkStart w:id="4" w:name="_Int_tm1L8cX2"/>
      <w:proofErr w:type="gramStart"/>
      <w:r w:rsidRPr="00DA701B">
        <w:rPr>
          <w:rFonts w:asciiTheme="minorHAnsi" w:hAnsiTheme="minorHAnsi" w:cstheme="minorHAnsi"/>
        </w:rPr>
        <w:t>as a result of</w:t>
      </w:r>
      <w:bookmarkEnd w:id="4"/>
      <w:proofErr w:type="gramEnd"/>
      <w:r w:rsidRPr="00DA701B">
        <w:rPr>
          <w:rFonts w:asciiTheme="minorHAnsi" w:hAnsiTheme="minorHAnsi" w:cstheme="minorHAnsi"/>
        </w:rPr>
        <w:t xml:space="preserve"> projects receiving Federal funds, will be treated fairly and equitably and will receive assistance in moving from the property they occupy.</w:t>
      </w:r>
    </w:p>
    <w:p w14:paraId="52DC614E" w14:textId="12C59B59" w:rsidR="00680C2B" w:rsidRDefault="00DA701B" w:rsidP="00DA701B">
      <w:pPr>
        <w:spacing w:after="0"/>
        <w:jc w:val="both"/>
        <w:rPr>
          <w:rFonts w:asciiTheme="minorHAnsi" w:hAnsiTheme="minorHAnsi" w:cstheme="minorHAnsi"/>
        </w:rPr>
      </w:pPr>
      <w:r w:rsidRPr="00DA701B">
        <w:rPr>
          <w:rFonts w:asciiTheme="minorHAnsi" w:hAnsiTheme="minorHAnsi" w:cstheme="minorHAnsi"/>
        </w:rPr>
        <w:t>This Plan is written for the MARC’s Transportation Planning Initiative (TPI) Program, which is funded using Federal Highway Administration (FHWA) funds made available through the Vermont Agency of Transportation (VTRANS). However, Title VI applies to all activities of this organization. As a result, various authorities apply depending upon the activities involved.  For example, 24 Code of Federal Regulation (CFR) Part 1 applies to all HUD related work, 40 CFR Part 7 applies to EPA-funded work, etc.</w:t>
      </w:r>
    </w:p>
    <w:p w14:paraId="76C8FA85" w14:textId="3D527839" w:rsidR="00680C2B" w:rsidRDefault="00680C2B" w:rsidP="00680C2B">
      <w:pPr>
        <w:pStyle w:val="Heading1"/>
        <w:numPr>
          <w:ilvl w:val="0"/>
          <w:numId w:val="6"/>
        </w:numPr>
        <w:spacing w:after="240"/>
      </w:pPr>
      <w:bookmarkStart w:id="5" w:name="_Toc164160709"/>
      <w:r>
        <w:t>MARC Non-Discrimination Policy</w:t>
      </w:r>
      <w:bookmarkEnd w:id="5"/>
    </w:p>
    <w:p w14:paraId="4C6EA8B3" w14:textId="6462453D" w:rsidR="00680C2B" w:rsidRDefault="00680C2B" w:rsidP="00680C2B">
      <w:pPr>
        <w:jc w:val="both"/>
      </w:pPr>
      <w:r w:rsidRPr="00680C2B">
        <w:t xml:space="preserve">It is the policy of the Mount Ascutney Regional Commission (MARC) to uphold and assure full compliance with Title VI of the Civil Rights Act of 1964, the Civil Rights Restoration Act of 1987, and related federal and state statutes and regulations. Title VI prohibits discrimination in Federally-assisted programs and requires that no person in the United States of America shall, on the grounds of race, color, national origin, gender, age, or mental or physical disability be excluded from participation in, be denied the benefits of, or be otherwise subjected to discrimination under any program or activity receiving federal assistance.  Furthermore, the MARC's non-discrimination policy extends to protected classes under other federal and state laws.  As such, the MARC operates its programs without regard to race, color, national origin, sex, age, disability, low income, limited English proficiency, or reprisal or retaliation for prior civil rights activity.  </w:t>
      </w:r>
    </w:p>
    <w:p w14:paraId="6C99BE33" w14:textId="6905FEC2" w:rsidR="00680C2B" w:rsidRDefault="00680C2B" w:rsidP="00680C2B">
      <w:pPr>
        <w:pStyle w:val="Heading1"/>
        <w:numPr>
          <w:ilvl w:val="0"/>
          <w:numId w:val="6"/>
        </w:numPr>
        <w:spacing w:after="240"/>
      </w:pPr>
      <w:bookmarkStart w:id="6" w:name="_Toc164160710"/>
      <w:r>
        <w:t>Organizational Structure</w:t>
      </w:r>
      <w:bookmarkEnd w:id="6"/>
    </w:p>
    <w:p w14:paraId="4DFF5274" w14:textId="77777777" w:rsidR="00680C2B" w:rsidRDefault="00680C2B" w:rsidP="00680C2B">
      <w:r>
        <w:t>The Executive Director of the MARC is responsible for ensuring the implementation of this Title VI Plan. The Title VI Coordinator, on behalf of the Executive Director, is responsible for the overall management of the Title VI programs, and serves as the Title VI Liaison Officer, DBE Liaison Officer, LEP Coordinator, and ADA Coordinator.  The day‐to‐day administration of the plan lies with the Title VI Coordinator (hereafter referred to as “Coordinator”) under the direct supervision of the Executive Director of the MARC.</w:t>
      </w:r>
    </w:p>
    <w:p w14:paraId="682C2447" w14:textId="3CB1356A" w:rsidR="00680C2B" w:rsidRDefault="00680C2B" w:rsidP="00680C2B">
      <w:r>
        <w:t>The MARC is headed by Executive Director, Jason Rasmussen. Logan Nicoll, Planner, serves the role of Title VI Coordinator.</w:t>
      </w:r>
    </w:p>
    <w:p w14:paraId="5DB2DE58" w14:textId="28542D94" w:rsidR="00680C2B" w:rsidRPr="00680C2B" w:rsidRDefault="00680C2B" w:rsidP="00680C2B">
      <w:pPr>
        <w:pStyle w:val="Heading1"/>
        <w:numPr>
          <w:ilvl w:val="0"/>
          <w:numId w:val="6"/>
        </w:numPr>
        <w:spacing w:after="240"/>
      </w:pPr>
      <w:bookmarkStart w:id="7" w:name="_Toc164160711"/>
      <w:r>
        <w:t>Requirements</w:t>
      </w:r>
      <w:bookmarkEnd w:id="7"/>
    </w:p>
    <w:p w14:paraId="6CEDE3D8" w14:textId="10CC2C53" w:rsidR="00680C2B" w:rsidRDefault="00680C2B" w:rsidP="00680C2B">
      <w:r w:rsidRPr="00680C2B">
        <w:t>As part of this Title VI Program, the MARC maintains certain reporting requirements and provides the Vermont Agency of Transportation (VTRANS), Federal Highway Administration (FHWA) or other applicable State or Federal agencies the following information regarding these reporting requirements.</w:t>
      </w:r>
    </w:p>
    <w:p w14:paraId="07ABCEBF" w14:textId="485F5755" w:rsidR="00680C2B" w:rsidRDefault="00680C2B" w:rsidP="00680C2B">
      <w:pPr>
        <w:pStyle w:val="ListParagraph"/>
        <w:numPr>
          <w:ilvl w:val="0"/>
          <w:numId w:val="9"/>
        </w:numPr>
        <w:rPr>
          <w:b/>
          <w:bCs/>
        </w:rPr>
      </w:pPr>
      <w:r w:rsidRPr="00680C2B">
        <w:rPr>
          <w:b/>
          <w:bCs/>
        </w:rPr>
        <w:lastRenderedPageBreak/>
        <w:t>Provide Title VI Assurances</w:t>
      </w:r>
    </w:p>
    <w:p w14:paraId="2EC7461E" w14:textId="77777777" w:rsidR="005A5475" w:rsidRPr="005A5475" w:rsidRDefault="005A5475" w:rsidP="00F72064">
      <w:pPr>
        <w:ind w:left="360"/>
        <w:jc w:val="both"/>
      </w:pPr>
      <w:r w:rsidRPr="005A5475">
        <w:t>MARC will submit its Title VI Assurance as part of its Certifications and Assurances submission to VTRANS and FHWA. While MARC does not currently have any subrecipients, should subrecipients exist in the future, MARC will collect Title VI Assurances from subrecipients prior to passing through FHWA funds.</w:t>
      </w:r>
    </w:p>
    <w:p w14:paraId="492FCA10" w14:textId="2DD9B13C" w:rsidR="005A5475" w:rsidRPr="005A5475" w:rsidRDefault="005A5475" w:rsidP="00F72064">
      <w:pPr>
        <w:ind w:left="360"/>
        <w:jc w:val="both"/>
      </w:pPr>
      <w:r w:rsidRPr="005A5475">
        <w:t>A copy of the Title VI Assurance included in the Annual Certifications and Assurances submission to VTRANS and FHWA is included in Appendix A.</w:t>
      </w:r>
    </w:p>
    <w:p w14:paraId="5F3E4C78" w14:textId="147C644A" w:rsidR="00680C2B" w:rsidRDefault="00680C2B" w:rsidP="00680C2B">
      <w:pPr>
        <w:pStyle w:val="ListParagraph"/>
        <w:numPr>
          <w:ilvl w:val="0"/>
          <w:numId w:val="9"/>
        </w:numPr>
        <w:rPr>
          <w:b/>
          <w:bCs/>
        </w:rPr>
      </w:pPr>
      <w:r w:rsidRPr="00680C2B">
        <w:rPr>
          <w:b/>
          <w:bCs/>
        </w:rPr>
        <w:t>Prepare and Submit a Title VI Plan</w:t>
      </w:r>
    </w:p>
    <w:p w14:paraId="18A56EB4" w14:textId="66C85414" w:rsidR="00F72064" w:rsidRPr="00F72064" w:rsidRDefault="00F72064" w:rsidP="00F72064">
      <w:pPr>
        <w:ind w:firstLine="360"/>
      </w:pPr>
      <w:r w:rsidRPr="00F72064">
        <w:t>This document constitutes the Title VI Program Plan for MARC.</w:t>
      </w:r>
    </w:p>
    <w:p w14:paraId="38F748C6" w14:textId="77777777" w:rsidR="00680C2B" w:rsidRDefault="00680C2B" w:rsidP="00680C2B">
      <w:pPr>
        <w:pStyle w:val="ListParagraph"/>
        <w:numPr>
          <w:ilvl w:val="0"/>
          <w:numId w:val="9"/>
        </w:numPr>
        <w:spacing w:after="120"/>
        <w:jc w:val="both"/>
        <w:rPr>
          <w:rFonts w:asciiTheme="minorHAnsi" w:hAnsiTheme="minorHAnsi" w:cstheme="minorHAnsi"/>
          <w:b/>
          <w:bCs/>
        </w:rPr>
      </w:pPr>
      <w:r w:rsidRPr="00680C2B">
        <w:rPr>
          <w:rFonts w:asciiTheme="minorHAnsi" w:hAnsiTheme="minorHAnsi" w:cstheme="minorHAnsi"/>
          <w:b/>
          <w:bCs/>
        </w:rPr>
        <w:t>Notify Beneficiaries of Protection under Title VI</w:t>
      </w:r>
    </w:p>
    <w:p w14:paraId="13F6F134" w14:textId="10122F10" w:rsidR="00F72064" w:rsidRPr="00F72064" w:rsidRDefault="00F72064" w:rsidP="00F72064">
      <w:pPr>
        <w:spacing w:after="120"/>
        <w:ind w:left="360"/>
        <w:jc w:val="both"/>
        <w:rPr>
          <w:rFonts w:asciiTheme="minorHAnsi" w:hAnsiTheme="minorHAnsi" w:cstheme="minorHAnsi"/>
        </w:rPr>
      </w:pPr>
      <w:proofErr w:type="gramStart"/>
      <w:r w:rsidRPr="00F72064">
        <w:rPr>
          <w:rFonts w:asciiTheme="minorHAnsi" w:hAnsiTheme="minorHAnsi" w:cstheme="minorHAnsi"/>
        </w:rPr>
        <w:t>In order to</w:t>
      </w:r>
      <w:proofErr w:type="gramEnd"/>
      <w:r w:rsidRPr="00F72064">
        <w:rPr>
          <w:rFonts w:asciiTheme="minorHAnsi" w:hAnsiTheme="minorHAnsi" w:cstheme="minorHAnsi"/>
        </w:rPr>
        <w:t xml:space="preserve"> notify the public regarding its Title VI obligations, MARC has developed this Plan and will post information on the organization’s website, including how to get more information on non-discrimination obligations and procedures for filing a discrimination complaint against MARC. A Title VI Policy is included in Appendix B. This policy is posted at the MARC offices and is accessible on the MARC website at </w:t>
      </w:r>
      <w:hyperlink r:id="rId11" w:history="1">
        <w:r w:rsidRPr="005976E7">
          <w:rPr>
            <w:rStyle w:val="Hyperlink"/>
            <w:rFonts w:asciiTheme="minorHAnsi" w:hAnsiTheme="minorHAnsi" w:cstheme="minorHAnsi"/>
          </w:rPr>
          <w:t>https://www.marcvt.org/</w:t>
        </w:r>
      </w:hyperlink>
      <w:r w:rsidRPr="00F72064">
        <w:rPr>
          <w:rFonts w:asciiTheme="minorHAnsi" w:hAnsiTheme="minorHAnsi" w:cstheme="minorHAnsi"/>
        </w:rPr>
        <w:t>.</w:t>
      </w:r>
    </w:p>
    <w:p w14:paraId="02228222" w14:textId="39E2F1C9" w:rsidR="00680C2B" w:rsidRPr="00F72064" w:rsidRDefault="00680C2B" w:rsidP="00680C2B">
      <w:pPr>
        <w:pStyle w:val="ListParagraph"/>
        <w:numPr>
          <w:ilvl w:val="0"/>
          <w:numId w:val="9"/>
        </w:numPr>
        <w:rPr>
          <w:b/>
          <w:bCs/>
        </w:rPr>
      </w:pPr>
      <w:r w:rsidRPr="00680C2B">
        <w:rPr>
          <w:rFonts w:asciiTheme="minorHAnsi" w:hAnsiTheme="minorHAnsi" w:cstheme="minorHAnsi"/>
          <w:b/>
          <w:bCs/>
        </w:rPr>
        <w:t>Develop Title VI Complaint Procedures and Complaint Form</w:t>
      </w:r>
    </w:p>
    <w:p w14:paraId="71E9800B" w14:textId="77777777" w:rsidR="00F72064" w:rsidRPr="00F72064" w:rsidRDefault="00F72064" w:rsidP="00F72064">
      <w:pPr>
        <w:ind w:left="360"/>
      </w:pPr>
      <w:r w:rsidRPr="00F72064">
        <w:t>The MARC has developed procedures for investigating and tracking Title VI complaints that may be filed against the MARC and for making these procedures available to members of the public upon request. Should the MARC have any subrecipients in the future, subrecipients shall be required to have such procedures and shall be encouraged to adopt the MARC’s complaint investigation and tracking procedures.  A copy of the MARC’s Title VI Complaint Procedures is included in Appendix C. The Title VI complaint procedures were adopted by the MARC Board.</w:t>
      </w:r>
    </w:p>
    <w:p w14:paraId="15A08E48" w14:textId="259FB066" w:rsidR="00F72064" w:rsidRPr="00F72064" w:rsidRDefault="00F72064" w:rsidP="00F72064">
      <w:pPr>
        <w:ind w:left="360"/>
      </w:pPr>
      <w:r w:rsidRPr="00F72064">
        <w:t xml:space="preserve">All complaints related to Title VI discrimination should be addressed to: Logan Nicoll, Title VI Coordinator at </w:t>
      </w:r>
      <w:hyperlink r:id="rId12" w:history="1">
        <w:r w:rsidRPr="005976E7">
          <w:rPr>
            <w:rStyle w:val="Hyperlink"/>
          </w:rPr>
          <w:t>lnicoll@marcvt.org</w:t>
        </w:r>
      </w:hyperlink>
      <w:r>
        <w:t xml:space="preserve"> </w:t>
      </w:r>
      <w:r w:rsidRPr="00F72064">
        <w:t xml:space="preserve">or 802-674-9201 ext. 117.   </w:t>
      </w:r>
    </w:p>
    <w:p w14:paraId="6FD34ADA" w14:textId="77777777" w:rsidR="00680C2B" w:rsidRDefault="00680C2B" w:rsidP="00680C2B">
      <w:pPr>
        <w:pStyle w:val="ListParagraph"/>
        <w:numPr>
          <w:ilvl w:val="0"/>
          <w:numId w:val="9"/>
        </w:numPr>
        <w:spacing w:after="120"/>
        <w:jc w:val="both"/>
        <w:rPr>
          <w:rFonts w:asciiTheme="minorHAnsi" w:hAnsiTheme="minorHAnsi" w:cstheme="minorHAnsi"/>
          <w:b/>
          <w:bCs/>
        </w:rPr>
      </w:pPr>
      <w:r w:rsidRPr="00680C2B">
        <w:rPr>
          <w:rFonts w:asciiTheme="minorHAnsi" w:hAnsiTheme="minorHAnsi" w:cstheme="minorHAnsi"/>
          <w:b/>
          <w:bCs/>
        </w:rPr>
        <w:t>Record and Report Title VI Investigations, Complaints, and Lawsuits</w:t>
      </w:r>
    </w:p>
    <w:p w14:paraId="6940A826" w14:textId="60E8324D" w:rsidR="00E20F26" w:rsidRPr="00E20F26" w:rsidRDefault="00E20F26" w:rsidP="00CB70FE">
      <w:pPr>
        <w:spacing w:after="120"/>
        <w:ind w:left="360"/>
        <w:jc w:val="both"/>
        <w:rPr>
          <w:rFonts w:asciiTheme="minorHAnsi" w:hAnsiTheme="minorHAnsi" w:cstheme="minorHAnsi"/>
        </w:rPr>
      </w:pPr>
      <w:r w:rsidRPr="00E20F26">
        <w:rPr>
          <w:rFonts w:asciiTheme="minorHAnsi" w:hAnsiTheme="minorHAnsi" w:cstheme="minorHAnsi"/>
        </w:rPr>
        <w:t>In compliance with 49 CFR Section 21.9(b), the MARC and any subrecipient shall prepare and maintain a list of any active investigations conducted by entities other than the FTA or FHWA, lawsuits, or complaints naming the MARC or subrecipient alleging discrimination of the basis of race, color, national origin, sex, creed, disability</w:t>
      </w:r>
      <w:r>
        <w:rPr>
          <w:rFonts w:asciiTheme="minorHAnsi" w:hAnsiTheme="minorHAnsi" w:cstheme="minorHAnsi"/>
        </w:rPr>
        <w:t>,</w:t>
      </w:r>
      <w:r w:rsidRPr="00E20F26">
        <w:rPr>
          <w:rFonts w:asciiTheme="minorHAnsi" w:hAnsiTheme="minorHAnsi" w:cstheme="minorHAnsi"/>
        </w:rPr>
        <w:t xml:space="preserve"> or income status. This list shall include the date the investigation, lawsuit, or complaint was filed and received by the MARC, a summary of the allegation(s), the status of the investigation, lawsuit or complaint, and actions taken by the MARC or subrecipient in response to the investigation, lawsuit, or complaint. The MARC’s form for recording this information is included in Appendix D. The list shall comprise all the records of active investigations, lawsuits and complaints recorded on these forms. During the processing of active investigations, lawsuits or complaints, the Title VI Coordinator shall </w:t>
      </w:r>
      <w:r w:rsidRPr="00E20F26">
        <w:rPr>
          <w:rFonts w:asciiTheme="minorHAnsi" w:hAnsiTheme="minorHAnsi" w:cstheme="minorHAnsi"/>
        </w:rPr>
        <w:lastRenderedPageBreak/>
        <w:t>update the record form, as necessary. Upon resolution and closure of an investigation, lawsuit or complaint, the Title VI Coordinator shall record such closure on this form.</w:t>
      </w:r>
    </w:p>
    <w:p w14:paraId="760E0864" w14:textId="25588474" w:rsidR="00E20F26" w:rsidRPr="00CB70FE" w:rsidRDefault="00E20F26" w:rsidP="00CB70FE">
      <w:pPr>
        <w:spacing w:after="120"/>
        <w:ind w:left="360"/>
        <w:jc w:val="both"/>
        <w:rPr>
          <w:rFonts w:asciiTheme="minorHAnsi" w:hAnsiTheme="minorHAnsi" w:cstheme="minorHAnsi"/>
        </w:rPr>
      </w:pPr>
      <w:r w:rsidRPr="00E20F26">
        <w:rPr>
          <w:rFonts w:asciiTheme="minorHAnsi" w:hAnsiTheme="minorHAnsi" w:cstheme="minorHAnsi"/>
        </w:rPr>
        <w:t>To date, no Title VI complaints, investigations, or lawsuits have been filed against the MARC.</w:t>
      </w:r>
    </w:p>
    <w:p w14:paraId="7075BCA7" w14:textId="63E25F54" w:rsidR="00680C2B" w:rsidRPr="00CB70FE" w:rsidRDefault="00680C2B" w:rsidP="00680C2B">
      <w:pPr>
        <w:pStyle w:val="ListParagraph"/>
        <w:numPr>
          <w:ilvl w:val="0"/>
          <w:numId w:val="9"/>
        </w:numPr>
        <w:rPr>
          <w:b/>
          <w:bCs/>
        </w:rPr>
      </w:pPr>
      <w:r w:rsidRPr="00680C2B">
        <w:rPr>
          <w:rFonts w:asciiTheme="minorHAnsi" w:hAnsiTheme="minorHAnsi" w:cstheme="minorHAnsi"/>
          <w:b/>
          <w:bCs/>
        </w:rPr>
        <w:t>Promote Inclusive Public Participation</w:t>
      </w:r>
    </w:p>
    <w:p w14:paraId="47A38358" w14:textId="77777777" w:rsidR="00CB70FE" w:rsidRPr="00CB70FE" w:rsidRDefault="00CB70FE" w:rsidP="00CB70FE">
      <w:pPr>
        <w:ind w:left="360"/>
        <w:jc w:val="both"/>
      </w:pPr>
      <w:r w:rsidRPr="00CB70FE">
        <w:t>The content and considerations of Title VI, the Executive Order on LEP, and the VTRANS LEP Guidance are integrated into this Plan by reference.</w:t>
      </w:r>
    </w:p>
    <w:p w14:paraId="66F2AA2C" w14:textId="77777777" w:rsidR="00CB70FE" w:rsidRPr="00CB70FE" w:rsidRDefault="00CB70FE" w:rsidP="00CB70FE">
      <w:pPr>
        <w:ind w:left="360"/>
        <w:jc w:val="both"/>
      </w:pPr>
      <w:r w:rsidRPr="00CB70FE">
        <w:t>Public participation is vital to the MARC. It helps provide the MARC with the broadest spectrum of relevant information available prior to its decision making and offers the public an opportunity to raise concerns that can be considered along with discussion of technical, political and economic merit.</w:t>
      </w:r>
    </w:p>
    <w:p w14:paraId="067746B6" w14:textId="77777777" w:rsidR="00CB70FE" w:rsidRPr="00CB70FE" w:rsidRDefault="00CB70FE" w:rsidP="00CB70FE">
      <w:pPr>
        <w:ind w:left="360"/>
        <w:jc w:val="both"/>
      </w:pPr>
      <w:r w:rsidRPr="00CB70FE">
        <w:t>Of particular importance in the pursuit of public participation is the identification of audiences which would be affected by or have a business or other affinity with the issues under consideration. All views should be heard, and their participation likewise encouraged. In this context, minority views include not only ethnic groups but also others whose perspectives may not be fully reflected by larger segments of the public.</w:t>
      </w:r>
    </w:p>
    <w:p w14:paraId="31598C88" w14:textId="28E056BC" w:rsidR="00CB70FE" w:rsidRDefault="00CB70FE" w:rsidP="00CB70FE">
      <w:pPr>
        <w:ind w:left="360"/>
        <w:jc w:val="both"/>
      </w:pPr>
      <w:proofErr w:type="gramStart"/>
      <w:r w:rsidRPr="00CB70FE">
        <w:t>In order to</w:t>
      </w:r>
      <w:proofErr w:type="gramEnd"/>
      <w:r w:rsidRPr="00CB70FE">
        <w:t xml:space="preserve"> provide meaningful access to services for all members of the public, the MARC has prepared a Language Access Plan. This plan ensures that language will not prevent staff from communicating effectively with LEP individuals and that limited English proficiency will not prevent people from accessing services provided by MARC. A copy of the MARC’s Title VI Language Access Plan is included in Appendix E.</w:t>
      </w:r>
    </w:p>
    <w:p w14:paraId="583FCCA1" w14:textId="77777777" w:rsidR="00CB70FE" w:rsidRDefault="00CB70FE" w:rsidP="00CB70FE">
      <w:pPr>
        <w:ind w:left="360"/>
        <w:jc w:val="both"/>
      </w:pPr>
      <w:r w:rsidRPr="00CB70FE">
        <w:t>Through the regional planning process, the MARC and partner agencies will thoroughly analyze the three Federally-established fundamental environmental justice principles:</w:t>
      </w:r>
    </w:p>
    <w:p w14:paraId="062A3F27" w14:textId="77777777" w:rsidR="00CB70FE" w:rsidRDefault="00CB70FE" w:rsidP="00CB70FE">
      <w:pPr>
        <w:pStyle w:val="ListParagraph"/>
        <w:numPr>
          <w:ilvl w:val="0"/>
          <w:numId w:val="10"/>
        </w:numPr>
        <w:jc w:val="both"/>
      </w:pPr>
      <w:r>
        <w:t xml:space="preserve">To avoid, minimize or mitigate disproportionately high and adverse human health or environmental effects, including social and economic effects, of programs, policies and activities on minority populations and low-income </w:t>
      </w:r>
      <w:proofErr w:type="gramStart"/>
      <w:r>
        <w:t>populations;</w:t>
      </w:r>
      <w:proofErr w:type="gramEnd"/>
    </w:p>
    <w:p w14:paraId="61F4F5F0" w14:textId="77777777" w:rsidR="00CB70FE" w:rsidRDefault="00CB70FE" w:rsidP="00CB70FE">
      <w:pPr>
        <w:pStyle w:val="ListParagraph"/>
        <w:numPr>
          <w:ilvl w:val="0"/>
          <w:numId w:val="10"/>
        </w:numPr>
        <w:jc w:val="both"/>
      </w:pPr>
      <w:r>
        <w:t>To ensure full and fair participation by all potentially-affected communities in the decision-making process; and</w:t>
      </w:r>
    </w:p>
    <w:p w14:paraId="404003F6" w14:textId="64350B07" w:rsidR="00CB70FE" w:rsidRDefault="00CB70FE" w:rsidP="00CB70FE">
      <w:pPr>
        <w:pStyle w:val="ListParagraph"/>
        <w:numPr>
          <w:ilvl w:val="0"/>
          <w:numId w:val="10"/>
        </w:numPr>
        <w:spacing w:after="0"/>
        <w:jc w:val="both"/>
      </w:pPr>
      <w:r>
        <w:t>To prevent the denial of, reduction of, or significant delay in the receipt of benefits by minority and low-income populations.</w:t>
      </w:r>
    </w:p>
    <w:p w14:paraId="60AFB69A" w14:textId="77777777" w:rsidR="00CB70FE" w:rsidRDefault="00CB70FE" w:rsidP="00CB70FE">
      <w:pPr>
        <w:spacing w:after="0"/>
        <w:jc w:val="both"/>
      </w:pPr>
    </w:p>
    <w:p w14:paraId="5C142B48" w14:textId="67CB90CB" w:rsidR="00CB70FE" w:rsidRDefault="00CB70FE" w:rsidP="00CB70FE">
      <w:pPr>
        <w:spacing w:after="0"/>
        <w:ind w:left="360"/>
        <w:jc w:val="both"/>
      </w:pPr>
      <w:r w:rsidRPr="00CB70FE">
        <w:t xml:space="preserve">The MARC actively seeks to solicit comments and engage the interests of the public through the participation process.  It then is the responsibility of MARC and VTRANS to balance the public’s needs and desires with resources available to address those needs and desires. MARC Staff are directed to incorporate appropriate activities to make public communications and outreach a part of the agency’s overall planning activities. In addition to required public hearings, such activities may include: representative task forces or advisory committees; public meetings and workshops, presentations and discussions with special interest organizations, forums or conferences that provide information about issues and processes </w:t>
      </w:r>
      <w:r w:rsidRPr="00CB70FE">
        <w:lastRenderedPageBreak/>
        <w:t>and the opportunity for input from the public; opinion polls, surveys, focus groups and interviews to acquire information; and use of the media and reports to disseminate information.</w:t>
      </w:r>
    </w:p>
    <w:p w14:paraId="441EB553" w14:textId="77777777" w:rsidR="00CB70FE" w:rsidRDefault="00CB70FE" w:rsidP="00CB70FE">
      <w:pPr>
        <w:spacing w:after="0"/>
        <w:ind w:left="360"/>
        <w:jc w:val="both"/>
      </w:pPr>
    </w:p>
    <w:p w14:paraId="3AE91285" w14:textId="3C3DEC0F" w:rsidR="00CB70FE" w:rsidRDefault="00CB70FE" w:rsidP="00CB70FE">
      <w:pPr>
        <w:spacing w:after="0"/>
        <w:ind w:left="360"/>
        <w:jc w:val="both"/>
      </w:pPr>
      <w:r w:rsidRPr="00CB70FE">
        <w:t>Specific outreach efforts designed to gather input on the needs of underrepresented populations in the MARC region in recent years include, though are not limited to, the following recent planning activities:</w:t>
      </w:r>
    </w:p>
    <w:p w14:paraId="6599B397" w14:textId="77777777" w:rsidR="00CB70FE" w:rsidRPr="00CB050A" w:rsidRDefault="00CB70FE" w:rsidP="00CB70FE">
      <w:pPr>
        <w:spacing w:after="0"/>
        <w:ind w:left="360"/>
        <w:jc w:val="both"/>
        <w:rPr>
          <w:sz w:val="20"/>
          <w:szCs w:val="20"/>
        </w:rPr>
      </w:pPr>
    </w:p>
    <w:p w14:paraId="2748FD5D" w14:textId="7133F701" w:rsidR="00CB70FE" w:rsidRPr="00CB050A" w:rsidRDefault="00CB70FE" w:rsidP="00CB70FE">
      <w:pPr>
        <w:spacing w:after="0"/>
        <w:ind w:left="360"/>
        <w:jc w:val="both"/>
        <w:rPr>
          <w:b/>
          <w:bCs/>
          <w:sz w:val="20"/>
          <w:szCs w:val="20"/>
        </w:rPr>
      </w:pPr>
      <w:r w:rsidRPr="00CB050A">
        <w:rPr>
          <w:b/>
          <w:bCs/>
          <w:sz w:val="20"/>
          <w:szCs w:val="20"/>
        </w:rPr>
        <w:t>Table 1: Past Outreach Efforts</w:t>
      </w:r>
    </w:p>
    <w:tbl>
      <w:tblPr>
        <w:tblStyle w:val="GridTable4-Accent6"/>
        <w:tblW w:w="9000" w:type="dxa"/>
        <w:tblInd w:w="355" w:type="dxa"/>
        <w:tblLook w:val="04A0" w:firstRow="1" w:lastRow="0" w:firstColumn="1" w:lastColumn="0" w:noHBand="0" w:noVBand="1"/>
      </w:tblPr>
      <w:tblGrid>
        <w:gridCol w:w="4123"/>
        <w:gridCol w:w="4877"/>
      </w:tblGrid>
      <w:tr w:rsidR="00CB70FE" w:rsidRPr="00CB050A" w14:paraId="29E750F1" w14:textId="77777777" w:rsidTr="00CB0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Pr>
          <w:p w14:paraId="1E3BDEA8" w14:textId="254FFACC" w:rsidR="00CB70FE" w:rsidRPr="00FC7456" w:rsidRDefault="00CB70FE" w:rsidP="00CB70FE">
            <w:pPr>
              <w:spacing w:after="0"/>
              <w:jc w:val="both"/>
              <w:rPr>
                <w:sz w:val="20"/>
                <w:szCs w:val="20"/>
              </w:rPr>
            </w:pPr>
            <w:r w:rsidRPr="00FC7456">
              <w:rPr>
                <w:sz w:val="20"/>
                <w:szCs w:val="20"/>
              </w:rPr>
              <w:t>Task</w:t>
            </w:r>
          </w:p>
        </w:tc>
        <w:tc>
          <w:tcPr>
            <w:tcW w:w="4877" w:type="dxa"/>
          </w:tcPr>
          <w:p w14:paraId="79D98C46" w14:textId="09E07E6C" w:rsidR="00CB70FE" w:rsidRPr="00FC7456" w:rsidRDefault="00CB70FE" w:rsidP="00CB70FE">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r w:rsidRPr="00FC7456">
              <w:rPr>
                <w:sz w:val="20"/>
                <w:szCs w:val="20"/>
              </w:rPr>
              <w:t>Description</w:t>
            </w:r>
          </w:p>
        </w:tc>
      </w:tr>
      <w:tr w:rsidR="00CB70FE" w:rsidRPr="00CB050A" w14:paraId="4DF09E22" w14:textId="77777777" w:rsidTr="00CB0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Pr>
          <w:p w14:paraId="2A18FC9A" w14:textId="3E509F06" w:rsidR="00CB70FE" w:rsidRPr="005F4C53" w:rsidRDefault="00CB70FE" w:rsidP="00CB050A">
            <w:pPr>
              <w:spacing w:after="0"/>
              <w:rPr>
                <w:sz w:val="20"/>
                <w:szCs w:val="20"/>
              </w:rPr>
            </w:pPr>
            <w:r w:rsidRPr="005F4C53">
              <w:rPr>
                <w:sz w:val="20"/>
                <w:szCs w:val="20"/>
              </w:rPr>
              <w:t>Hazard Mitigation Planning</w:t>
            </w:r>
          </w:p>
        </w:tc>
        <w:tc>
          <w:tcPr>
            <w:tcW w:w="4877" w:type="dxa"/>
          </w:tcPr>
          <w:p w14:paraId="1B9F6BA0" w14:textId="17662007" w:rsidR="00CB70FE" w:rsidRPr="00CB050A" w:rsidRDefault="00CB70FE" w:rsidP="00CB050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CB050A">
              <w:rPr>
                <w:sz w:val="20"/>
                <w:szCs w:val="20"/>
              </w:rPr>
              <w:t>Meetings with town hazard mitigation teams. Various outreach to towns, stakeholders, and vulnerable populations.</w:t>
            </w:r>
          </w:p>
        </w:tc>
      </w:tr>
      <w:tr w:rsidR="00CB050A" w:rsidRPr="00CB050A" w14:paraId="68679A0E" w14:textId="77777777" w:rsidTr="00CB050A">
        <w:tc>
          <w:tcPr>
            <w:cnfStyle w:val="001000000000" w:firstRow="0" w:lastRow="0" w:firstColumn="1" w:lastColumn="0" w:oddVBand="0" w:evenVBand="0" w:oddHBand="0" w:evenHBand="0" w:firstRowFirstColumn="0" w:firstRowLastColumn="0" w:lastRowFirstColumn="0" w:lastRowLastColumn="0"/>
            <w:tcW w:w="4123" w:type="dxa"/>
          </w:tcPr>
          <w:p w14:paraId="22EF635B" w14:textId="4E7AD229" w:rsidR="00CB050A" w:rsidRPr="005F4C53" w:rsidRDefault="00CB050A" w:rsidP="00CB050A">
            <w:pPr>
              <w:spacing w:after="0"/>
              <w:rPr>
                <w:sz w:val="20"/>
                <w:szCs w:val="20"/>
              </w:rPr>
            </w:pPr>
            <w:r w:rsidRPr="005F4C53">
              <w:rPr>
                <w:sz w:val="20"/>
                <w:szCs w:val="20"/>
              </w:rPr>
              <w:t>Ludlow Village Center Master Plan</w:t>
            </w:r>
          </w:p>
        </w:tc>
        <w:tc>
          <w:tcPr>
            <w:tcW w:w="4877" w:type="dxa"/>
          </w:tcPr>
          <w:p w14:paraId="54C36E34" w14:textId="32926D1F" w:rsidR="00CB050A" w:rsidRPr="00CB050A" w:rsidRDefault="00CB050A" w:rsidP="00CB050A">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B050A">
              <w:rPr>
                <w:sz w:val="20"/>
                <w:szCs w:val="20"/>
              </w:rPr>
              <w:t>Survey and pop-up demonstration projects</w:t>
            </w:r>
          </w:p>
        </w:tc>
      </w:tr>
      <w:tr w:rsidR="00CB050A" w:rsidRPr="00CB050A" w14:paraId="7F87876D" w14:textId="77777777" w:rsidTr="00CB0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Pr>
          <w:p w14:paraId="698DEAC4" w14:textId="49370EE0" w:rsidR="00CB050A" w:rsidRPr="005F4C53" w:rsidRDefault="00CB050A" w:rsidP="00CB050A">
            <w:pPr>
              <w:spacing w:after="0"/>
              <w:rPr>
                <w:sz w:val="20"/>
                <w:szCs w:val="20"/>
              </w:rPr>
            </w:pPr>
            <w:r w:rsidRPr="005F4C53">
              <w:rPr>
                <w:sz w:val="20"/>
                <w:szCs w:val="20"/>
              </w:rPr>
              <w:t>E&amp;D Ridership Survey</w:t>
            </w:r>
          </w:p>
        </w:tc>
        <w:tc>
          <w:tcPr>
            <w:tcW w:w="4877" w:type="dxa"/>
          </w:tcPr>
          <w:p w14:paraId="04745FB0" w14:textId="60427440" w:rsidR="00CB050A" w:rsidRPr="00CB050A" w:rsidRDefault="00CB050A" w:rsidP="00CB050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CB050A">
              <w:rPr>
                <w:sz w:val="20"/>
                <w:szCs w:val="20"/>
              </w:rPr>
              <w:t>Mail survey of riders utilizing SEVT E&amp;D services</w:t>
            </w:r>
          </w:p>
        </w:tc>
      </w:tr>
      <w:tr w:rsidR="00CB050A" w:rsidRPr="00CB050A" w14:paraId="1F1B12DC" w14:textId="77777777" w:rsidTr="00CB050A">
        <w:tc>
          <w:tcPr>
            <w:cnfStyle w:val="001000000000" w:firstRow="0" w:lastRow="0" w:firstColumn="1" w:lastColumn="0" w:oddVBand="0" w:evenVBand="0" w:oddHBand="0" w:evenHBand="0" w:firstRowFirstColumn="0" w:firstRowLastColumn="0" w:lastRowFirstColumn="0" w:lastRowLastColumn="0"/>
            <w:tcW w:w="4123" w:type="dxa"/>
          </w:tcPr>
          <w:p w14:paraId="0D634C0C" w14:textId="0AC85A6F" w:rsidR="00CB050A" w:rsidRPr="005F4C53" w:rsidRDefault="00CB050A" w:rsidP="00CB050A">
            <w:pPr>
              <w:spacing w:after="0"/>
              <w:rPr>
                <w:sz w:val="20"/>
                <w:szCs w:val="20"/>
              </w:rPr>
            </w:pPr>
            <w:r w:rsidRPr="005F4C53">
              <w:rPr>
                <w:sz w:val="20"/>
                <w:szCs w:val="20"/>
              </w:rPr>
              <w:t>Active Transportation Plan</w:t>
            </w:r>
          </w:p>
        </w:tc>
        <w:tc>
          <w:tcPr>
            <w:tcW w:w="4877" w:type="dxa"/>
          </w:tcPr>
          <w:p w14:paraId="35692E1E" w14:textId="43420F11" w:rsidR="00CB050A" w:rsidRPr="00CB050A" w:rsidRDefault="00CB050A" w:rsidP="00CB050A">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B050A">
              <w:rPr>
                <w:sz w:val="20"/>
                <w:szCs w:val="20"/>
              </w:rPr>
              <w:t>Planning assistance from a Steering Committee of cyclists. Various outreach to TAC, stakeholder groups.</w:t>
            </w:r>
          </w:p>
        </w:tc>
      </w:tr>
      <w:tr w:rsidR="00CB050A" w:rsidRPr="00CB050A" w14:paraId="4C646871" w14:textId="77777777" w:rsidTr="00CB0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Pr>
          <w:p w14:paraId="6CAF5337" w14:textId="0B70E480" w:rsidR="00CB050A" w:rsidRPr="005F4C53" w:rsidRDefault="00CB050A" w:rsidP="00CB050A">
            <w:pPr>
              <w:spacing w:after="0"/>
              <w:rPr>
                <w:sz w:val="20"/>
                <w:szCs w:val="20"/>
              </w:rPr>
            </w:pPr>
            <w:r w:rsidRPr="005F4C53">
              <w:rPr>
                <w:sz w:val="20"/>
                <w:szCs w:val="20"/>
              </w:rPr>
              <w:t>Ride Windsor County Bike Route Map and Guide</w:t>
            </w:r>
          </w:p>
        </w:tc>
        <w:tc>
          <w:tcPr>
            <w:tcW w:w="4877" w:type="dxa"/>
          </w:tcPr>
          <w:p w14:paraId="1D186842" w14:textId="04FAAF50" w:rsidR="00CB050A" w:rsidRPr="00CB050A" w:rsidRDefault="00CB050A" w:rsidP="00CB050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CB050A">
              <w:rPr>
                <w:sz w:val="20"/>
                <w:szCs w:val="20"/>
              </w:rPr>
              <w:t>Stakeholder group meetings</w:t>
            </w:r>
          </w:p>
        </w:tc>
      </w:tr>
      <w:tr w:rsidR="00CB050A" w:rsidRPr="00CB050A" w14:paraId="67175132" w14:textId="77777777" w:rsidTr="00CB050A">
        <w:tc>
          <w:tcPr>
            <w:cnfStyle w:val="001000000000" w:firstRow="0" w:lastRow="0" w:firstColumn="1" w:lastColumn="0" w:oddVBand="0" w:evenVBand="0" w:oddHBand="0" w:evenHBand="0" w:firstRowFirstColumn="0" w:firstRowLastColumn="0" w:lastRowFirstColumn="0" w:lastRowLastColumn="0"/>
            <w:tcW w:w="4123" w:type="dxa"/>
          </w:tcPr>
          <w:p w14:paraId="4307A74B" w14:textId="44E203A8" w:rsidR="00CB050A" w:rsidRPr="005F4C53" w:rsidRDefault="00CB050A" w:rsidP="00CB050A">
            <w:pPr>
              <w:spacing w:after="0"/>
              <w:rPr>
                <w:sz w:val="20"/>
                <w:szCs w:val="20"/>
              </w:rPr>
            </w:pPr>
            <w:r w:rsidRPr="005F4C53">
              <w:rPr>
                <w:sz w:val="20"/>
                <w:szCs w:val="20"/>
              </w:rPr>
              <w:t>Regional Enhanced Energy Plan</w:t>
            </w:r>
          </w:p>
        </w:tc>
        <w:tc>
          <w:tcPr>
            <w:tcW w:w="4877" w:type="dxa"/>
          </w:tcPr>
          <w:p w14:paraId="17A9C5D6" w14:textId="4DDDEB0B" w:rsidR="00CB050A" w:rsidRPr="00CB050A" w:rsidRDefault="00CB050A" w:rsidP="00CB050A">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B050A">
              <w:rPr>
                <w:sz w:val="20"/>
                <w:szCs w:val="20"/>
              </w:rPr>
              <w:t>Various outreach, such as State Agency review, reaching out to local energy committees.</w:t>
            </w:r>
          </w:p>
        </w:tc>
      </w:tr>
      <w:tr w:rsidR="00CB70FE" w:rsidRPr="00CB050A" w14:paraId="682CAD1B" w14:textId="77777777" w:rsidTr="00CB0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Pr>
          <w:p w14:paraId="0492DCAF" w14:textId="71EA139D" w:rsidR="00CB70FE" w:rsidRPr="005F4C53" w:rsidRDefault="00CB050A" w:rsidP="00CB050A">
            <w:pPr>
              <w:spacing w:after="0"/>
              <w:rPr>
                <w:sz w:val="20"/>
                <w:szCs w:val="20"/>
              </w:rPr>
            </w:pPr>
            <w:r w:rsidRPr="005F4C53">
              <w:rPr>
                <w:sz w:val="20"/>
                <w:szCs w:val="20"/>
              </w:rPr>
              <w:t>Regional Plan Update</w:t>
            </w:r>
          </w:p>
        </w:tc>
        <w:tc>
          <w:tcPr>
            <w:tcW w:w="4877" w:type="dxa"/>
          </w:tcPr>
          <w:p w14:paraId="1128E02C" w14:textId="21C720F5" w:rsidR="00CB70FE" w:rsidRPr="00CB050A" w:rsidRDefault="00CB050A" w:rsidP="00CB050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CB050A">
              <w:rPr>
                <w:sz w:val="20"/>
                <w:szCs w:val="20"/>
              </w:rPr>
              <w:t>Meetings with an Ad Hoc Land Use Committee. Outreach to various stakeholder groups. Interviews with material matter experts, such as to tribal leaders to update the pre-European history of the region.</w:t>
            </w:r>
          </w:p>
        </w:tc>
      </w:tr>
      <w:tr w:rsidR="00CB050A" w:rsidRPr="00CB050A" w14:paraId="23C89F9D" w14:textId="77777777" w:rsidTr="00CB050A">
        <w:tc>
          <w:tcPr>
            <w:cnfStyle w:val="001000000000" w:firstRow="0" w:lastRow="0" w:firstColumn="1" w:lastColumn="0" w:oddVBand="0" w:evenVBand="0" w:oddHBand="0" w:evenHBand="0" w:firstRowFirstColumn="0" w:firstRowLastColumn="0" w:lastRowFirstColumn="0" w:lastRowLastColumn="0"/>
            <w:tcW w:w="4123" w:type="dxa"/>
          </w:tcPr>
          <w:p w14:paraId="0047339B" w14:textId="3C9F1371" w:rsidR="00CB050A" w:rsidRPr="005F4C53" w:rsidRDefault="00CB050A" w:rsidP="00CB050A">
            <w:pPr>
              <w:spacing w:after="0"/>
              <w:rPr>
                <w:sz w:val="20"/>
                <w:szCs w:val="20"/>
              </w:rPr>
            </w:pPr>
            <w:r w:rsidRPr="005F4C53">
              <w:rPr>
                <w:sz w:val="20"/>
                <w:szCs w:val="20"/>
              </w:rPr>
              <w:t>Annual Transportation Prioritization Process</w:t>
            </w:r>
          </w:p>
        </w:tc>
        <w:tc>
          <w:tcPr>
            <w:tcW w:w="4877" w:type="dxa"/>
          </w:tcPr>
          <w:p w14:paraId="469380FF" w14:textId="4C477DC4" w:rsidR="00CB050A" w:rsidRPr="00CB050A" w:rsidRDefault="00CB050A" w:rsidP="00CB050A">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B050A">
              <w:rPr>
                <w:sz w:val="20"/>
                <w:szCs w:val="20"/>
              </w:rPr>
              <w:t>Transportation Advisory Committee, town officials, stakeholders.</w:t>
            </w:r>
          </w:p>
        </w:tc>
      </w:tr>
    </w:tbl>
    <w:p w14:paraId="0CA6FA08" w14:textId="77777777" w:rsidR="00CB70FE" w:rsidRDefault="00CB70FE" w:rsidP="00CB70FE">
      <w:pPr>
        <w:spacing w:after="0"/>
        <w:ind w:left="360"/>
        <w:jc w:val="both"/>
      </w:pPr>
    </w:p>
    <w:p w14:paraId="4140B93E" w14:textId="7CC01DEC" w:rsidR="00565D11" w:rsidRDefault="00565D11" w:rsidP="00565D11">
      <w:pPr>
        <w:spacing w:after="0"/>
        <w:ind w:left="360"/>
        <w:jc w:val="both"/>
      </w:pPr>
      <w:r>
        <w:t>The MARC seeks to reduce or eliminate language, mobility, temporal, and other obstacles that may prevent minority, disability, low-income, and other under-represented populations from fully participating in the planning process. It is the policy of the MARC to locate all public meetings in facilities that are ADA accessible or provide an opportunity for individuals to request special accommodation, such as an interpreter, if needed. Meetings of the MARC Board are usually held in Martin Memorial Hall– a facility that is ADA accessible. A copy of the MARC’s Language Access Plan is included in Appendix E.</w:t>
      </w:r>
    </w:p>
    <w:p w14:paraId="143DBD75" w14:textId="77777777" w:rsidR="00565D11" w:rsidRDefault="00565D11" w:rsidP="00565D11">
      <w:pPr>
        <w:spacing w:after="0"/>
        <w:ind w:left="360"/>
        <w:jc w:val="both"/>
      </w:pPr>
    </w:p>
    <w:p w14:paraId="37BA6024" w14:textId="6B0F662C" w:rsidR="00565D11" w:rsidRPr="00CB70FE" w:rsidRDefault="00565D11" w:rsidP="00565D11">
      <w:pPr>
        <w:spacing w:after="0"/>
        <w:ind w:left="360"/>
        <w:jc w:val="both"/>
      </w:pPr>
      <w:r>
        <w:t>During extenuating circumstances, such as the 2020 COVID-19 pandemic, we will continue to encourage public participation to the greatest extent possible but may need to temporarily alter our standard procedures.  In these situations when in-person interactions may be restricted for public health and safety purposes, we will rely instead on virtual meetings and other forms of public outreach.</w:t>
      </w:r>
    </w:p>
    <w:p w14:paraId="009F909D" w14:textId="625C4257" w:rsidR="00680C2B" w:rsidRDefault="00680C2B" w:rsidP="00CB70FE">
      <w:pPr>
        <w:pStyle w:val="ListParagraph"/>
        <w:numPr>
          <w:ilvl w:val="0"/>
          <w:numId w:val="9"/>
        </w:numPr>
        <w:spacing w:before="240" w:after="120"/>
        <w:jc w:val="both"/>
        <w:rPr>
          <w:rFonts w:asciiTheme="minorHAnsi" w:hAnsiTheme="minorHAnsi" w:cstheme="minorHAnsi"/>
          <w:b/>
          <w:bCs/>
        </w:rPr>
      </w:pPr>
      <w:r w:rsidRPr="00680C2B">
        <w:rPr>
          <w:rFonts w:asciiTheme="minorHAnsi" w:hAnsiTheme="minorHAnsi" w:cstheme="minorHAnsi"/>
          <w:b/>
          <w:bCs/>
        </w:rPr>
        <w:t xml:space="preserve">Demographic Profile </w:t>
      </w:r>
    </w:p>
    <w:p w14:paraId="00CB035A" w14:textId="77777777" w:rsidR="00565D11" w:rsidRPr="00565D11" w:rsidRDefault="00565D11" w:rsidP="00565D11">
      <w:pPr>
        <w:spacing w:after="120"/>
        <w:ind w:left="360"/>
        <w:jc w:val="both"/>
        <w:rPr>
          <w:rFonts w:asciiTheme="minorHAnsi" w:hAnsiTheme="minorHAnsi" w:cstheme="minorHAnsi"/>
        </w:rPr>
      </w:pPr>
      <w:r w:rsidRPr="00565D11">
        <w:rPr>
          <w:rFonts w:asciiTheme="minorHAnsi" w:hAnsiTheme="minorHAnsi" w:cstheme="minorHAnsi"/>
        </w:rPr>
        <w:t xml:space="preserve">The MARC has prepared a demographic analysis of minority and low-income populations of the ten (10) communities that currently make up the MARC planning region. Demographic </w:t>
      </w:r>
      <w:r w:rsidRPr="00565D11">
        <w:rPr>
          <w:rFonts w:asciiTheme="minorHAnsi" w:hAnsiTheme="minorHAnsi" w:cstheme="minorHAnsi"/>
        </w:rPr>
        <w:lastRenderedPageBreak/>
        <w:t xml:space="preserve">data used in this profile are drawn from the 2018-2022 American Community Survey (ACS) 5-year data compilation. </w:t>
      </w:r>
    </w:p>
    <w:p w14:paraId="165A0A99" w14:textId="074C3CFC" w:rsidR="00CB70FE" w:rsidRDefault="00565D11" w:rsidP="00565D11">
      <w:pPr>
        <w:spacing w:after="120"/>
        <w:ind w:left="360"/>
        <w:jc w:val="both"/>
        <w:rPr>
          <w:rFonts w:asciiTheme="minorHAnsi" w:hAnsiTheme="minorHAnsi" w:cstheme="minorHAnsi"/>
        </w:rPr>
      </w:pPr>
      <w:r w:rsidRPr="00565D11">
        <w:rPr>
          <w:rFonts w:asciiTheme="minorHAnsi" w:hAnsiTheme="minorHAnsi" w:cstheme="minorHAnsi"/>
        </w:rPr>
        <w:t>Note that there are significant concerns regarding the ACS data, which represent a much smaller survey sample, even with a 5-year compilation, than the old Census Long Form, from which information on income and poverty has previously been drawn. While the ACS data provides useful annual snapshots at the national, state and county levels, it contains remarkably high margins of error for small towns, and especially for small subpopulations within towns. That said, they represent the best data available for these measures.</w:t>
      </w:r>
    </w:p>
    <w:p w14:paraId="69FDC6B4" w14:textId="55F0A4ED" w:rsidR="000A31FC" w:rsidRDefault="00543543" w:rsidP="000A31FC">
      <w:pPr>
        <w:spacing w:after="120"/>
        <w:ind w:left="360"/>
        <w:jc w:val="both"/>
        <w:rPr>
          <w:rFonts w:asciiTheme="minorHAnsi" w:hAnsiTheme="minorHAnsi" w:cstheme="minorHAnsi"/>
        </w:rPr>
      </w:pPr>
      <w:r w:rsidRPr="00543543">
        <w:rPr>
          <w:rFonts w:asciiTheme="minorHAnsi" w:hAnsiTheme="minorHAnsi" w:cstheme="minorHAnsi"/>
          <w:b/>
          <w:bCs/>
          <w:i/>
          <w:iCs/>
        </w:rPr>
        <w:t>Minority Populations</w:t>
      </w:r>
      <w:r>
        <w:rPr>
          <w:rFonts w:asciiTheme="minorHAnsi" w:hAnsiTheme="minorHAnsi" w:cstheme="minorHAnsi"/>
          <w:b/>
          <w:bCs/>
          <w:i/>
          <w:iCs/>
        </w:rPr>
        <w:t>:</w:t>
      </w:r>
      <w:r w:rsidRPr="00543543">
        <w:rPr>
          <w:rFonts w:asciiTheme="minorHAnsi" w:hAnsiTheme="minorHAnsi" w:cstheme="minorHAnsi"/>
        </w:rPr>
        <w:t xml:space="preserve"> There are generally small minority populations in the Mount Ascutney region. Table </w:t>
      </w:r>
      <w:r w:rsidR="000A31FC">
        <w:rPr>
          <w:rFonts w:asciiTheme="minorHAnsi" w:hAnsiTheme="minorHAnsi" w:cstheme="minorHAnsi"/>
        </w:rPr>
        <w:t>2</w:t>
      </w:r>
      <w:r w:rsidRPr="00543543">
        <w:rPr>
          <w:rFonts w:asciiTheme="minorHAnsi" w:hAnsiTheme="minorHAnsi" w:cstheme="minorHAnsi"/>
        </w:rPr>
        <w:t xml:space="preserve"> below shows minority populations in each town based on 2022 ACS data. Ludlow exhibits the highest proportion of non-white residents and Ludlow also exhibits the highest proportion of Hispanic/Latino residents.</w:t>
      </w:r>
    </w:p>
    <w:p w14:paraId="292DAF02" w14:textId="0FD59094" w:rsidR="00523B12" w:rsidRPr="00523B12" w:rsidRDefault="00523B12" w:rsidP="000A31FC">
      <w:pPr>
        <w:spacing w:after="120"/>
        <w:ind w:left="360"/>
        <w:jc w:val="both"/>
        <w:rPr>
          <w:rFonts w:asciiTheme="minorHAnsi" w:hAnsiTheme="minorHAnsi" w:cstheme="minorHAnsi"/>
          <w:b/>
          <w:bCs/>
          <w:sz w:val="20"/>
          <w:szCs w:val="20"/>
        </w:rPr>
      </w:pPr>
      <w:r w:rsidRPr="00523B12">
        <w:rPr>
          <w:rFonts w:asciiTheme="minorHAnsi" w:hAnsiTheme="minorHAnsi" w:cstheme="minorHAnsi"/>
          <w:b/>
          <w:bCs/>
          <w:sz w:val="20"/>
          <w:szCs w:val="20"/>
        </w:rPr>
        <w:t>Table 2: Minority Populations in the Mount Ascutney Region</w:t>
      </w:r>
    </w:p>
    <w:tbl>
      <w:tblPr>
        <w:tblStyle w:val="GridTable4-Accent6"/>
        <w:tblW w:w="8995" w:type="dxa"/>
        <w:tblInd w:w="355" w:type="dxa"/>
        <w:tblLook w:val="04A0" w:firstRow="1" w:lastRow="0" w:firstColumn="1" w:lastColumn="0" w:noHBand="0" w:noVBand="1"/>
      </w:tblPr>
      <w:tblGrid>
        <w:gridCol w:w="1340"/>
        <w:gridCol w:w="1086"/>
        <w:gridCol w:w="222"/>
        <w:gridCol w:w="903"/>
        <w:gridCol w:w="740"/>
        <w:gridCol w:w="958"/>
        <w:gridCol w:w="881"/>
        <w:gridCol w:w="1047"/>
        <w:gridCol w:w="836"/>
        <w:gridCol w:w="982"/>
      </w:tblGrid>
      <w:tr w:rsidR="00BF0958" w:rsidRPr="009A66CE" w14:paraId="497732F4" w14:textId="77777777" w:rsidTr="00BF0958">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340" w:type="dxa"/>
            <w:noWrap/>
            <w:hideMark/>
          </w:tcPr>
          <w:p w14:paraId="394DF61E" w14:textId="77777777" w:rsidR="00BF0958" w:rsidRPr="00523B12" w:rsidRDefault="00BF0958" w:rsidP="00523B12">
            <w:pPr>
              <w:spacing w:after="0"/>
              <w:rPr>
                <w:rFonts w:asciiTheme="minorHAnsi" w:hAnsiTheme="minorHAnsi" w:cstheme="minorHAnsi"/>
                <w:sz w:val="16"/>
                <w:szCs w:val="16"/>
              </w:rPr>
            </w:pPr>
            <w:bookmarkStart w:id="8" w:name="_Hlk146209627"/>
            <w:r w:rsidRPr="00523B12">
              <w:rPr>
                <w:rFonts w:asciiTheme="minorHAnsi" w:hAnsiTheme="minorHAnsi" w:cstheme="minorHAnsi"/>
                <w:sz w:val="16"/>
                <w:szCs w:val="16"/>
              </w:rPr>
              <w:t> </w:t>
            </w:r>
          </w:p>
        </w:tc>
        <w:tc>
          <w:tcPr>
            <w:tcW w:w="1086" w:type="dxa"/>
            <w:hideMark/>
          </w:tcPr>
          <w:p w14:paraId="7EE7BF20" w14:textId="77777777" w:rsidR="00BF0958" w:rsidRPr="00523B12" w:rsidRDefault="00BF0958" w:rsidP="00523B1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523B12">
              <w:rPr>
                <w:rFonts w:asciiTheme="minorHAnsi" w:hAnsiTheme="minorHAnsi" w:cstheme="minorHAnsi"/>
                <w:sz w:val="16"/>
                <w:szCs w:val="16"/>
              </w:rPr>
              <w:t>Total Population</w:t>
            </w:r>
          </w:p>
        </w:tc>
        <w:tc>
          <w:tcPr>
            <w:tcW w:w="222" w:type="dxa"/>
          </w:tcPr>
          <w:p w14:paraId="543E37BD" w14:textId="77777777" w:rsidR="00BF0958" w:rsidRPr="00523B12" w:rsidRDefault="00BF0958" w:rsidP="00523B1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p>
        </w:tc>
        <w:tc>
          <w:tcPr>
            <w:tcW w:w="903" w:type="dxa"/>
            <w:hideMark/>
          </w:tcPr>
          <w:p w14:paraId="1B9C33DA" w14:textId="286C0D12" w:rsidR="00BF0958" w:rsidRPr="00523B12" w:rsidRDefault="00BF0958" w:rsidP="00523B1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523B12">
              <w:rPr>
                <w:rFonts w:asciiTheme="minorHAnsi" w:hAnsiTheme="minorHAnsi" w:cstheme="minorHAnsi"/>
                <w:sz w:val="16"/>
                <w:szCs w:val="16"/>
              </w:rPr>
              <w:t xml:space="preserve">White </w:t>
            </w:r>
          </w:p>
        </w:tc>
        <w:tc>
          <w:tcPr>
            <w:tcW w:w="740" w:type="dxa"/>
            <w:noWrap/>
            <w:hideMark/>
          </w:tcPr>
          <w:p w14:paraId="527DE42C" w14:textId="77777777" w:rsidR="00BF0958" w:rsidRPr="00523B12" w:rsidRDefault="00BF0958" w:rsidP="00523B1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523B12">
              <w:rPr>
                <w:rFonts w:asciiTheme="minorHAnsi" w:hAnsiTheme="minorHAnsi" w:cstheme="minorHAnsi"/>
                <w:sz w:val="16"/>
                <w:szCs w:val="16"/>
              </w:rPr>
              <w:t>Black</w:t>
            </w:r>
          </w:p>
        </w:tc>
        <w:tc>
          <w:tcPr>
            <w:tcW w:w="958" w:type="dxa"/>
            <w:hideMark/>
          </w:tcPr>
          <w:p w14:paraId="42A74BBE" w14:textId="77777777" w:rsidR="00BF0958" w:rsidRPr="00523B12" w:rsidRDefault="00BF0958" w:rsidP="00523B1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523B12">
              <w:rPr>
                <w:rFonts w:asciiTheme="minorHAnsi" w:hAnsiTheme="minorHAnsi" w:cstheme="minorHAnsi"/>
                <w:sz w:val="16"/>
                <w:szCs w:val="16"/>
              </w:rPr>
              <w:t>Am. Indian/ Alaska Native</w:t>
            </w:r>
          </w:p>
        </w:tc>
        <w:tc>
          <w:tcPr>
            <w:tcW w:w="881" w:type="dxa"/>
            <w:hideMark/>
          </w:tcPr>
          <w:p w14:paraId="2711971C" w14:textId="77777777" w:rsidR="00BF0958" w:rsidRPr="00523B12" w:rsidRDefault="00BF0958" w:rsidP="00523B1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523B12">
              <w:rPr>
                <w:rFonts w:asciiTheme="minorHAnsi" w:hAnsiTheme="minorHAnsi" w:cstheme="minorHAnsi"/>
                <w:sz w:val="16"/>
                <w:szCs w:val="16"/>
              </w:rPr>
              <w:t>Asian</w:t>
            </w:r>
          </w:p>
        </w:tc>
        <w:tc>
          <w:tcPr>
            <w:tcW w:w="1047" w:type="dxa"/>
            <w:hideMark/>
          </w:tcPr>
          <w:p w14:paraId="68DED3E7" w14:textId="77777777" w:rsidR="00BF0958" w:rsidRPr="00523B12" w:rsidRDefault="00BF0958" w:rsidP="00523B1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523B12">
              <w:rPr>
                <w:rFonts w:asciiTheme="minorHAnsi" w:hAnsiTheme="minorHAnsi" w:cstheme="minorHAnsi"/>
                <w:sz w:val="16"/>
                <w:szCs w:val="16"/>
              </w:rPr>
              <w:t>Hawaiian &amp; Pacific Islander</w:t>
            </w:r>
          </w:p>
        </w:tc>
        <w:tc>
          <w:tcPr>
            <w:tcW w:w="836" w:type="dxa"/>
            <w:hideMark/>
          </w:tcPr>
          <w:p w14:paraId="477430BD" w14:textId="0AACE37C" w:rsidR="00BF0958" w:rsidRPr="00523B12" w:rsidRDefault="00BF0958" w:rsidP="00523B1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proofErr w:type="gramStart"/>
            <w:r w:rsidRPr="00523B12">
              <w:rPr>
                <w:rFonts w:asciiTheme="minorHAnsi" w:hAnsiTheme="minorHAnsi" w:cstheme="minorHAnsi"/>
                <w:sz w:val="16"/>
                <w:szCs w:val="16"/>
              </w:rPr>
              <w:t>Two  More</w:t>
            </w:r>
            <w:proofErr w:type="gramEnd"/>
            <w:r w:rsidRPr="00523B12">
              <w:rPr>
                <w:rFonts w:asciiTheme="minorHAnsi" w:hAnsiTheme="minorHAnsi" w:cstheme="minorHAnsi"/>
                <w:sz w:val="16"/>
                <w:szCs w:val="16"/>
              </w:rPr>
              <w:t xml:space="preserve"> Races</w:t>
            </w:r>
          </w:p>
        </w:tc>
        <w:tc>
          <w:tcPr>
            <w:tcW w:w="982" w:type="dxa"/>
            <w:hideMark/>
          </w:tcPr>
          <w:p w14:paraId="4F7EAB1C" w14:textId="77777777" w:rsidR="00BF0958" w:rsidRPr="00523B12" w:rsidRDefault="00BF0958" w:rsidP="00523B1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523B12">
              <w:rPr>
                <w:rFonts w:asciiTheme="minorHAnsi" w:hAnsiTheme="minorHAnsi" w:cstheme="minorHAnsi"/>
                <w:sz w:val="16"/>
                <w:szCs w:val="16"/>
              </w:rPr>
              <w:t>Hispanic/ Latino</w:t>
            </w:r>
          </w:p>
        </w:tc>
      </w:tr>
      <w:tr w:rsidR="00BF0958" w:rsidRPr="008A172F" w14:paraId="58132702" w14:textId="77777777" w:rsidTr="00BF09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7CEA960D"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Andover</w:t>
            </w:r>
          </w:p>
        </w:tc>
        <w:tc>
          <w:tcPr>
            <w:tcW w:w="1086" w:type="dxa"/>
            <w:noWrap/>
            <w:hideMark/>
          </w:tcPr>
          <w:p w14:paraId="4E8B61A4"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612</w:t>
            </w:r>
          </w:p>
        </w:tc>
        <w:tc>
          <w:tcPr>
            <w:tcW w:w="222" w:type="dxa"/>
          </w:tcPr>
          <w:p w14:paraId="36415AEF"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542DA03A" w14:textId="71ED4372"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586</w:t>
            </w:r>
          </w:p>
        </w:tc>
        <w:tc>
          <w:tcPr>
            <w:tcW w:w="740" w:type="dxa"/>
            <w:noWrap/>
            <w:hideMark/>
          </w:tcPr>
          <w:p w14:paraId="7568AE21"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958" w:type="dxa"/>
            <w:noWrap/>
            <w:hideMark/>
          </w:tcPr>
          <w:p w14:paraId="4BED18C1"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81" w:type="dxa"/>
            <w:noWrap/>
            <w:hideMark/>
          </w:tcPr>
          <w:p w14:paraId="61DB8C30"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1047" w:type="dxa"/>
            <w:noWrap/>
            <w:hideMark/>
          </w:tcPr>
          <w:p w14:paraId="3E9DF2BE"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4C762CAD"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26</w:t>
            </w:r>
          </w:p>
        </w:tc>
        <w:tc>
          <w:tcPr>
            <w:tcW w:w="982" w:type="dxa"/>
            <w:noWrap/>
            <w:hideMark/>
          </w:tcPr>
          <w:p w14:paraId="6C9CD7E4"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r>
      <w:tr w:rsidR="00BF0958" w:rsidRPr="008A172F" w14:paraId="41DCE1F1" w14:textId="77777777" w:rsidTr="00BF0958">
        <w:trPr>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71CC6831"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Baltimore</w:t>
            </w:r>
          </w:p>
        </w:tc>
        <w:tc>
          <w:tcPr>
            <w:tcW w:w="1086" w:type="dxa"/>
            <w:noWrap/>
            <w:hideMark/>
          </w:tcPr>
          <w:p w14:paraId="49C6124A"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347</w:t>
            </w:r>
          </w:p>
        </w:tc>
        <w:tc>
          <w:tcPr>
            <w:tcW w:w="222" w:type="dxa"/>
          </w:tcPr>
          <w:p w14:paraId="335EBC9B"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4EB88FB4" w14:textId="044A59AC"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337</w:t>
            </w:r>
          </w:p>
        </w:tc>
        <w:tc>
          <w:tcPr>
            <w:tcW w:w="740" w:type="dxa"/>
            <w:noWrap/>
            <w:hideMark/>
          </w:tcPr>
          <w:p w14:paraId="196DB8AC"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958" w:type="dxa"/>
            <w:noWrap/>
            <w:hideMark/>
          </w:tcPr>
          <w:p w14:paraId="21524E84"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81" w:type="dxa"/>
            <w:noWrap/>
            <w:hideMark/>
          </w:tcPr>
          <w:p w14:paraId="6D9AE1FC"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1047" w:type="dxa"/>
            <w:noWrap/>
            <w:hideMark/>
          </w:tcPr>
          <w:p w14:paraId="69DC7E0D"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4ADC9C27"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8</w:t>
            </w:r>
          </w:p>
        </w:tc>
        <w:tc>
          <w:tcPr>
            <w:tcW w:w="982" w:type="dxa"/>
            <w:noWrap/>
            <w:hideMark/>
          </w:tcPr>
          <w:p w14:paraId="0C5F5F6F"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w:t>
            </w:r>
          </w:p>
        </w:tc>
      </w:tr>
      <w:tr w:rsidR="00BF0958" w:rsidRPr="008A172F" w14:paraId="787F88F1" w14:textId="77777777" w:rsidTr="00BF09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1D4B25E"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Cavendish</w:t>
            </w:r>
          </w:p>
        </w:tc>
        <w:tc>
          <w:tcPr>
            <w:tcW w:w="1086" w:type="dxa"/>
            <w:noWrap/>
            <w:hideMark/>
          </w:tcPr>
          <w:p w14:paraId="67CB957D"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1,380</w:t>
            </w:r>
          </w:p>
        </w:tc>
        <w:tc>
          <w:tcPr>
            <w:tcW w:w="222" w:type="dxa"/>
          </w:tcPr>
          <w:p w14:paraId="583752CF"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0832D858" w14:textId="547644B9"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1,283</w:t>
            </w:r>
          </w:p>
        </w:tc>
        <w:tc>
          <w:tcPr>
            <w:tcW w:w="740" w:type="dxa"/>
            <w:noWrap/>
            <w:hideMark/>
          </w:tcPr>
          <w:p w14:paraId="21A26C15"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7</w:t>
            </w:r>
          </w:p>
        </w:tc>
        <w:tc>
          <w:tcPr>
            <w:tcW w:w="958" w:type="dxa"/>
            <w:noWrap/>
            <w:hideMark/>
          </w:tcPr>
          <w:p w14:paraId="6F19195F"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81" w:type="dxa"/>
            <w:noWrap/>
            <w:hideMark/>
          </w:tcPr>
          <w:p w14:paraId="30EF571C"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1047" w:type="dxa"/>
            <w:noWrap/>
            <w:hideMark/>
          </w:tcPr>
          <w:p w14:paraId="68EDA1EA"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7F69788D"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71</w:t>
            </w:r>
          </w:p>
        </w:tc>
        <w:tc>
          <w:tcPr>
            <w:tcW w:w="982" w:type="dxa"/>
            <w:noWrap/>
            <w:hideMark/>
          </w:tcPr>
          <w:p w14:paraId="0C42C4AB"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64</w:t>
            </w:r>
          </w:p>
        </w:tc>
      </w:tr>
      <w:tr w:rsidR="00BF0958" w:rsidRPr="008A172F" w14:paraId="4CBEA1FA" w14:textId="77777777" w:rsidTr="00BF0958">
        <w:trPr>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4FB587ED"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Chester</w:t>
            </w:r>
          </w:p>
        </w:tc>
        <w:tc>
          <w:tcPr>
            <w:tcW w:w="1086" w:type="dxa"/>
            <w:noWrap/>
            <w:hideMark/>
          </w:tcPr>
          <w:p w14:paraId="022C6B0A"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3,017</w:t>
            </w:r>
          </w:p>
        </w:tc>
        <w:tc>
          <w:tcPr>
            <w:tcW w:w="222" w:type="dxa"/>
          </w:tcPr>
          <w:p w14:paraId="47D22221"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7D130D3C" w14:textId="5D70B4BA"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2,918</w:t>
            </w:r>
          </w:p>
        </w:tc>
        <w:tc>
          <w:tcPr>
            <w:tcW w:w="740" w:type="dxa"/>
            <w:noWrap/>
            <w:hideMark/>
          </w:tcPr>
          <w:p w14:paraId="5EEFB640"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66</w:t>
            </w:r>
          </w:p>
        </w:tc>
        <w:tc>
          <w:tcPr>
            <w:tcW w:w="958" w:type="dxa"/>
            <w:noWrap/>
            <w:hideMark/>
          </w:tcPr>
          <w:p w14:paraId="2D2FA4F8"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81" w:type="dxa"/>
            <w:noWrap/>
            <w:hideMark/>
          </w:tcPr>
          <w:p w14:paraId="17D89144"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1047" w:type="dxa"/>
            <w:noWrap/>
            <w:hideMark/>
          </w:tcPr>
          <w:p w14:paraId="6A49A901"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26E57A42"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25</w:t>
            </w:r>
          </w:p>
        </w:tc>
        <w:tc>
          <w:tcPr>
            <w:tcW w:w="982" w:type="dxa"/>
            <w:noWrap/>
            <w:hideMark/>
          </w:tcPr>
          <w:p w14:paraId="4C900939"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r>
      <w:tr w:rsidR="00BF0958" w:rsidRPr="008A172F" w14:paraId="20457302" w14:textId="77777777" w:rsidTr="00BF09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4858DE98"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Ludlow</w:t>
            </w:r>
          </w:p>
        </w:tc>
        <w:tc>
          <w:tcPr>
            <w:tcW w:w="1086" w:type="dxa"/>
            <w:noWrap/>
            <w:hideMark/>
          </w:tcPr>
          <w:p w14:paraId="146040D7"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2,003</w:t>
            </w:r>
          </w:p>
        </w:tc>
        <w:tc>
          <w:tcPr>
            <w:tcW w:w="222" w:type="dxa"/>
          </w:tcPr>
          <w:p w14:paraId="7B2F386C"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4BA446DB" w14:textId="63742EAB"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1,768</w:t>
            </w:r>
          </w:p>
        </w:tc>
        <w:tc>
          <w:tcPr>
            <w:tcW w:w="740" w:type="dxa"/>
            <w:noWrap/>
            <w:hideMark/>
          </w:tcPr>
          <w:p w14:paraId="783F15B9"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w:t>
            </w:r>
          </w:p>
        </w:tc>
        <w:tc>
          <w:tcPr>
            <w:tcW w:w="958" w:type="dxa"/>
            <w:noWrap/>
            <w:hideMark/>
          </w:tcPr>
          <w:p w14:paraId="27315611"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4</w:t>
            </w:r>
          </w:p>
        </w:tc>
        <w:tc>
          <w:tcPr>
            <w:tcW w:w="881" w:type="dxa"/>
            <w:noWrap/>
            <w:hideMark/>
          </w:tcPr>
          <w:p w14:paraId="2ABF8765"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1047" w:type="dxa"/>
            <w:noWrap/>
            <w:hideMark/>
          </w:tcPr>
          <w:p w14:paraId="10B9F088"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484D45C8"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138</w:t>
            </w:r>
          </w:p>
        </w:tc>
        <w:tc>
          <w:tcPr>
            <w:tcW w:w="982" w:type="dxa"/>
            <w:noWrap/>
            <w:hideMark/>
          </w:tcPr>
          <w:p w14:paraId="577AE238"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172</w:t>
            </w:r>
          </w:p>
        </w:tc>
      </w:tr>
      <w:tr w:rsidR="00BF0958" w:rsidRPr="008A172F" w14:paraId="32826B2F" w14:textId="77777777" w:rsidTr="00BF0958">
        <w:trPr>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359E673"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Reading</w:t>
            </w:r>
          </w:p>
        </w:tc>
        <w:tc>
          <w:tcPr>
            <w:tcW w:w="1086" w:type="dxa"/>
            <w:noWrap/>
            <w:hideMark/>
          </w:tcPr>
          <w:p w14:paraId="4AEA91A2"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628</w:t>
            </w:r>
          </w:p>
        </w:tc>
        <w:tc>
          <w:tcPr>
            <w:tcW w:w="222" w:type="dxa"/>
          </w:tcPr>
          <w:p w14:paraId="27E890BE"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23E1D51C" w14:textId="5D94936C"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604</w:t>
            </w:r>
          </w:p>
        </w:tc>
        <w:tc>
          <w:tcPr>
            <w:tcW w:w="740" w:type="dxa"/>
            <w:noWrap/>
            <w:hideMark/>
          </w:tcPr>
          <w:p w14:paraId="29B9642C"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958" w:type="dxa"/>
            <w:noWrap/>
            <w:hideMark/>
          </w:tcPr>
          <w:p w14:paraId="4844AD06"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81" w:type="dxa"/>
            <w:noWrap/>
            <w:hideMark/>
          </w:tcPr>
          <w:p w14:paraId="0DAE8C22"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w:t>
            </w:r>
          </w:p>
        </w:tc>
        <w:tc>
          <w:tcPr>
            <w:tcW w:w="1047" w:type="dxa"/>
            <w:noWrap/>
            <w:hideMark/>
          </w:tcPr>
          <w:p w14:paraId="7C42BCBB"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274F3D9B"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22</w:t>
            </w:r>
          </w:p>
        </w:tc>
        <w:tc>
          <w:tcPr>
            <w:tcW w:w="982" w:type="dxa"/>
            <w:noWrap/>
            <w:hideMark/>
          </w:tcPr>
          <w:p w14:paraId="25FB3DE6"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r>
      <w:tr w:rsidR="00BF0958" w:rsidRPr="008A172F" w14:paraId="3795C904" w14:textId="77777777" w:rsidTr="00BF09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056C09E"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Springfield</w:t>
            </w:r>
          </w:p>
        </w:tc>
        <w:tc>
          <w:tcPr>
            <w:tcW w:w="1086" w:type="dxa"/>
            <w:noWrap/>
            <w:hideMark/>
          </w:tcPr>
          <w:p w14:paraId="2B283F5F"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9,097</w:t>
            </w:r>
          </w:p>
        </w:tc>
        <w:tc>
          <w:tcPr>
            <w:tcW w:w="222" w:type="dxa"/>
          </w:tcPr>
          <w:p w14:paraId="132BEB20"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4213EE69" w14:textId="2005A231"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8,614</w:t>
            </w:r>
          </w:p>
        </w:tc>
        <w:tc>
          <w:tcPr>
            <w:tcW w:w="740" w:type="dxa"/>
            <w:noWrap/>
            <w:hideMark/>
          </w:tcPr>
          <w:p w14:paraId="11AE1640"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43</w:t>
            </w:r>
          </w:p>
        </w:tc>
        <w:tc>
          <w:tcPr>
            <w:tcW w:w="958" w:type="dxa"/>
            <w:noWrap/>
            <w:hideMark/>
          </w:tcPr>
          <w:p w14:paraId="5E986280"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8</w:t>
            </w:r>
          </w:p>
        </w:tc>
        <w:tc>
          <w:tcPr>
            <w:tcW w:w="881" w:type="dxa"/>
            <w:noWrap/>
            <w:hideMark/>
          </w:tcPr>
          <w:p w14:paraId="1707ACC2"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74</w:t>
            </w:r>
          </w:p>
        </w:tc>
        <w:tc>
          <w:tcPr>
            <w:tcW w:w="1047" w:type="dxa"/>
            <w:noWrap/>
            <w:hideMark/>
          </w:tcPr>
          <w:p w14:paraId="1C7B434E"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3FD1BCFC"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253</w:t>
            </w:r>
          </w:p>
        </w:tc>
        <w:tc>
          <w:tcPr>
            <w:tcW w:w="982" w:type="dxa"/>
            <w:noWrap/>
            <w:hideMark/>
          </w:tcPr>
          <w:p w14:paraId="6C4BEB7B"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159</w:t>
            </w:r>
          </w:p>
        </w:tc>
      </w:tr>
      <w:tr w:rsidR="00BF0958" w:rsidRPr="008A172F" w14:paraId="213F9F63" w14:textId="77777777" w:rsidTr="00BF0958">
        <w:trPr>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84D77B2"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Weathersfield</w:t>
            </w:r>
          </w:p>
        </w:tc>
        <w:tc>
          <w:tcPr>
            <w:tcW w:w="1086" w:type="dxa"/>
            <w:noWrap/>
            <w:hideMark/>
          </w:tcPr>
          <w:p w14:paraId="1EF5A7F4"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2,844</w:t>
            </w:r>
          </w:p>
        </w:tc>
        <w:tc>
          <w:tcPr>
            <w:tcW w:w="222" w:type="dxa"/>
          </w:tcPr>
          <w:p w14:paraId="57FE4017"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51390FA2" w14:textId="16E7DC61"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2,551</w:t>
            </w:r>
          </w:p>
        </w:tc>
        <w:tc>
          <w:tcPr>
            <w:tcW w:w="740" w:type="dxa"/>
            <w:noWrap/>
            <w:hideMark/>
          </w:tcPr>
          <w:p w14:paraId="1519AB72"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12</w:t>
            </w:r>
          </w:p>
        </w:tc>
        <w:tc>
          <w:tcPr>
            <w:tcW w:w="958" w:type="dxa"/>
            <w:noWrap/>
            <w:hideMark/>
          </w:tcPr>
          <w:p w14:paraId="14D2F5FB"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81" w:type="dxa"/>
            <w:noWrap/>
            <w:hideMark/>
          </w:tcPr>
          <w:p w14:paraId="7C334F2F"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1047" w:type="dxa"/>
            <w:noWrap/>
            <w:hideMark/>
          </w:tcPr>
          <w:p w14:paraId="5771B655"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406CC940"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277</w:t>
            </w:r>
          </w:p>
        </w:tc>
        <w:tc>
          <w:tcPr>
            <w:tcW w:w="982" w:type="dxa"/>
            <w:noWrap/>
            <w:hideMark/>
          </w:tcPr>
          <w:p w14:paraId="28716515"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4</w:t>
            </w:r>
          </w:p>
        </w:tc>
      </w:tr>
      <w:tr w:rsidR="00BF0958" w:rsidRPr="008A172F" w14:paraId="19C94EA8" w14:textId="77777777" w:rsidTr="00BF09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0D25AC1"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West Windsor</w:t>
            </w:r>
          </w:p>
        </w:tc>
        <w:tc>
          <w:tcPr>
            <w:tcW w:w="1086" w:type="dxa"/>
            <w:noWrap/>
            <w:hideMark/>
          </w:tcPr>
          <w:p w14:paraId="40F06406"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1,058</w:t>
            </w:r>
          </w:p>
        </w:tc>
        <w:tc>
          <w:tcPr>
            <w:tcW w:w="222" w:type="dxa"/>
          </w:tcPr>
          <w:p w14:paraId="69CBAD71"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6139FFB6" w14:textId="4FED9DCD"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1,024</w:t>
            </w:r>
          </w:p>
        </w:tc>
        <w:tc>
          <w:tcPr>
            <w:tcW w:w="740" w:type="dxa"/>
            <w:noWrap/>
            <w:hideMark/>
          </w:tcPr>
          <w:p w14:paraId="0913D88A"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958" w:type="dxa"/>
            <w:noWrap/>
            <w:hideMark/>
          </w:tcPr>
          <w:p w14:paraId="5966DD6E"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81" w:type="dxa"/>
            <w:noWrap/>
            <w:hideMark/>
          </w:tcPr>
          <w:p w14:paraId="5A49A0BF"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8</w:t>
            </w:r>
          </w:p>
        </w:tc>
        <w:tc>
          <w:tcPr>
            <w:tcW w:w="1047" w:type="dxa"/>
            <w:noWrap/>
            <w:hideMark/>
          </w:tcPr>
          <w:p w14:paraId="55A8ACC8"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42F955FD"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24</w:t>
            </w:r>
          </w:p>
        </w:tc>
        <w:tc>
          <w:tcPr>
            <w:tcW w:w="982" w:type="dxa"/>
            <w:noWrap/>
            <w:hideMark/>
          </w:tcPr>
          <w:p w14:paraId="7264A2E0"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w:t>
            </w:r>
          </w:p>
        </w:tc>
      </w:tr>
      <w:tr w:rsidR="00BF0958" w:rsidRPr="008A172F" w14:paraId="55B33E76" w14:textId="77777777" w:rsidTr="00BF0958">
        <w:trPr>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ADB506E"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Windsor</w:t>
            </w:r>
          </w:p>
        </w:tc>
        <w:tc>
          <w:tcPr>
            <w:tcW w:w="1086" w:type="dxa"/>
            <w:noWrap/>
            <w:hideMark/>
          </w:tcPr>
          <w:p w14:paraId="2AA97E27"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3,548</w:t>
            </w:r>
          </w:p>
        </w:tc>
        <w:tc>
          <w:tcPr>
            <w:tcW w:w="222" w:type="dxa"/>
          </w:tcPr>
          <w:p w14:paraId="679BA83A"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4359711D" w14:textId="45C9BE70"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3,286</w:t>
            </w:r>
          </w:p>
        </w:tc>
        <w:tc>
          <w:tcPr>
            <w:tcW w:w="740" w:type="dxa"/>
            <w:noWrap/>
            <w:hideMark/>
          </w:tcPr>
          <w:p w14:paraId="5955424C"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958" w:type="dxa"/>
            <w:noWrap/>
            <w:hideMark/>
          </w:tcPr>
          <w:p w14:paraId="36DD3281"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81" w:type="dxa"/>
            <w:noWrap/>
            <w:hideMark/>
          </w:tcPr>
          <w:p w14:paraId="5EE750FC"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14</w:t>
            </w:r>
          </w:p>
        </w:tc>
        <w:tc>
          <w:tcPr>
            <w:tcW w:w="1047" w:type="dxa"/>
            <w:noWrap/>
            <w:hideMark/>
          </w:tcPr>
          <w:p w14:paraId="6B1AB061"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79ED7B76"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206</w:t>
            </w:r>
          </w:p>
        </w:tc>
        <w:tc>
          <w:tcPr>
            <w:tcW w:w="982" w:type="dxa"/>
            <w:noWrap/>
            <w:hideMark/>
          </w:tcPr>
          <w:p w14:paraId="26A65262"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56</w:t>
            </w:r>
          </w:p>
        </w:tc>
      </w:tr>
      <w:tr w:rsidR="00BF0958" w:rsidRPr="008A172F" w14:paraId="2D564D56" w14:textId="77777777" w:rsidTr="00BF09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8700BEF"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MARC region</w:t>
            </w:r>
          </w:p>
        </w:tc>
        <w:tc>
          <w:tcPr>
            <w:tcW w:w="1086" w:type="dxa"/>
            <w:noWrap/>
            <w:hideMark/>
          </w:tcPr>
          <w:p w14:paraId="5D86AC36"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24,534</w:t>
            </w:r>
          </w:p>
        </w:tc>
        <w:tc>
          <w:tcPr>
            <w:tcW w:w="222" w:type="dxa"/>
          </w:tcPr>
          <w:p w14:paraId="4116E24F"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12896C09" w14:textId="5991953B"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22,971</w:t>
            </w:r>
          </w:p>
        </w:tc>
        <w:tc>
          <w:tcPr>
            <w:tcW w:w="740" w:type="dxa"/>
            <w:noWrap/>
            <w:hideMark/>
          </w:tcPr>
          <w:p w14:paraId="3D0255A2"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129</w:t>
            </w:r>
          </w:p>
        </w:tc>
        <w:tc>
          <w:tcPr>
            <w:tcW w:w="958" w:type="dxa"/>
            <w:noWrap/>
            <w:hideMark/>
          </w:tcPr>
          <w:p w14:paraId="1D9C02D1"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12</w:t>
            </w:r>
          </w:p>
        </w:tc>
        <w:tc>
          <w:tcPr>
            <w:tcW w:w="881" w:type="dxa"/>
            <w:noWrap/>
            <w:hideMark/>
          </w:tcPr>
          <w:p w14:paraId="0524D309"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98</w:t>
            </w:r>
          </w:p>
        </w:tc>
        <w:tc>
          <w:tcPr>
            <w:tcW w:w="1047" w:type="dxa"/>
            <w:noWrap/>
            <w:hideMark/>
          </w:tcPr>
          <w:p w14:paraId="70C0C234"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0</w:t>
            </w:r>
          </w:p>
        </w:tc>
        <w:tc>
          <w:tcPr>
            <w:tcW w:w="836" w:type="dxa"/>
            <w:noWrap/>
            <w:hideMark/>
          </w:tcPr>
          <w:p w14:paraId="2DE73F1A"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1,050</w:t>
            </w:r>
            <w:r w:rsidRPr="008A172F">
              <w:rPr>
                <w:rFonts w:asciiTheme="minorHAnsi" w:hAnsiTheme="minorHAnsi" w:cstheme="minorHAnsi"/>
                <w:sz w:val="16"/>
                <w:szCs w:val="16"/>
              </w:rPr>
              <w:fldChar w:fldCharType="begin"/>
            </w:r>
            <w:r w:rsidRPr="008A172F">
              <w:rPr>
                <w:rFonts w:asciiTheme="minorHAnsi" w:hAnsiTheme="minorHAnsi" w:cstheme="minorHAnsi"/>
                <w:sz w:val="16"/>
                <w:szCs w:val="16"/>
              </w:rPr>
              <w:instrText xml:space="preserve"> =SUM(ABOVE) </w:instrText>
            </w:r>
            <w:r w:rsidR="00B963F0">
              <w:rPr>
                <w:rFonts w:asciiTheme="minorHAnsi" w:hAnsiTheme="minorHAnsi" w:cstheme="minorHAnsi"/>
                <w:sz w:val="16"/>
                <w:szCs w:val="16"/>
              </w:rPr>
              <w:fldChar w:fldCharType="separate"/>
            </w:r>
            <w:r w:rsidRPr="008A172F">
              <w:rPr>
                <w:rFonts w:asciiTheme="minorHAnsi" w:hAnsiTheme="minorHAnsi" w:cstheme="minorHAnsi"/>
                <w:sz w:val="16"/>
                <w:szCs w:val="16"/>
              </w:rPr>
              <w:fldChar w:fldCharType="end"/>
            </w:r>
          </w:p>
        </w:tc>
        <w:tc>
          <w:tcPr>
            <w:tcW w:w="982" w:type="dxa"/>
            <w:noWrap/>
            <w:hideMark/>
          </w:tcPr>
          <w:p w14:paraId="1B6C85D0" w14:textId="77777777" w:rsidR="00BF0958" w:rsidRPr="008A172F" w:rsidRDefault="00BF0958" w:rsidP="00523B1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459</w:t>
            </w:r>
          </w:p>
        </w:tc>
      </w:tr>
      <w:tr w:rsidR="00BF0958" w:rsidRPr="008A172F" w14:paraId="4FF92E15" w14:textId="77777777" w:rsidTr="00BF0958">
        <w:trPr>
          <w:trHeight w:val="2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2E1AEBD" w14:textId="77777777" w:rsidR="00BF0958" w:rsidRPr="00217366" w:rsidRDefault="00BF0958" w:rsidP="00523B12">
            <w:pPr>
              <w:spacing w:after="0"/>
              <w:jc w:val="both"/>
              <w:rPr>
                <w:rFonts w:asciiTheme="minorHAnsi" w:hAnsiTheme="minorHAnsi" w:cstheme="minorHAnsi"/>
                <w:sz w:val="16"/>
                <w:szCs w:val="16"/>
              </w:rPr>
            </w:pPr>
            <w:r w:rsidRPr="00217366">
              <w:rPr>
                <w:rFonts w:asciiTheme="minorHAnsi" w:hAnsiTheme="minorHAnsi" w:cstheme="minorHAnsi"/>
                <w:sz w:val="16"/>
                <w:szCs w:val="16"/>
              </w:rPr>
              <w:t>Vermont</w:t>
            </w:r>
          </w:p>
        </w:tc>
        <w:tc>
          <w:tcPr>
            <w:tcW w:w="1086" w:type="dxa"/>
            <w:noWrap/>
            <w:hideMark/>
          </w:tcPr>
          <w:p w14:paraId="06F961FA"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647,064</w:t>
            </w:r>
          </w:p>
        </w:tc>
        <w:tc>
          <w:tcPr>
            <w:tcW w:w="222" w:type="dxa"/>
          </w:tcPr>
          <w:p w14:paraId="3913D870"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03" w:type="dxa"/>
            <w:noWrap/>
            <w:hideMark/>
          </w:tcPr>
          <w:p w14:paraId="28307B14" w14:textId="25F4BD6D"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583,546</w:t>
            </w:r>
          </w:p>
        </w:tc>
        <w:tc>
          <w:tcPr>
            <w:tcW w:w="740" w:type="dxa"/>
            <w:noWrap/>
            <w:hideMark/>
          </w:tcPr>
          <w:p w14:paraId="66EE7E23"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8,000</w:t>
            </w:r>
          </w:p>
        </w:tc>
        <w:tc>
          <w:tcPr>
            <w:tcW w:w="958" w:type="dxa"/>
            <w:noWrap/>
            <w:hideMark/>
          </w:tcPr>
          <w:p w14:paraId="6669F6AE"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1,336</w:t>
            </w:r>
          </w:p>
        </w:tc>
        <w:tc>
          <w:tcPr>
            <w:tcW w:w="881" w:type="dxa"/>
            <w:noWrap/>
            <w:hideMark/>
          </w:tcPr>
          <w:p w14:paraId="0A29559E"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11,711</w:t>
            </w:r>
          </w:p>
        </w:tc>
        <w:tc>
          <w:tcPr>
            <w:tcW w:w="1047" w:type="dxa"/>
            <w:noWrap/>
            <w:hideMark/>
          </w:tcPr>
          <w:p w14:paraId="6EC65128"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148</w:t>
            </w:r>
          </w:p>
        </w:tc>
        <w:tc>
          <w:tcPr>
            <w:tcW w:w="836" w:type="dxa"/>
            <w:noWrap/>
            <w:hideMark/>
          </w:tcPr>
          <w:p w14:paraId="492465AA" w14:textId="77777777" w:rsidR="00BF0958" w:rsidRPr="008A172F" w:rsidRDefault="00BF0958" w:rsidP="00523B1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34,485</w:t>
            </w:r>
          </w:p>
        </w:tc>
        <w:tc>
          <w:tcPr>
            <w:tcW w:w="982" w:type="dxa"/>
            <w:noWrap/>
            <w:hideMark/>
          </w:tcPr>
          <w:p w14:paraId="145D0799" w14:textId="77777777" w:rsidR="00BF0958" w:rsidRPr="008A172F" w:rsidRDefault="00BF0958" w:rsidP="00523B12">
            <w:pPr>
              <w:keepNext/>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A172F">
              <w:rPr>
                <w:rFonts w:asciiTheme="minorHAnsi" w:hAnsiTheme="minorHAnsi" w:cstheme="minorHAnsi"/>
                <w:sz w:val="16"/>
                <w:szCs w:val="16"/>
              </w:rPr>
              <w:t>14,770</w:t>
            </w:r>
          </w:p>
        </w:tc>
      </w:tr>
    </w:tbl>
    <w:bookmarkEnd w:id="8"/>
    <w:p w14:paraId="2250D7D4" w14:textId="232B272D" w:rsidR="000A31FC" w:rsidRPr="00B8385F" w:rsidRDefault="0047653E" w:rsidP="000A31FC">
      <w:pPr>
        <w:spacing w:after="120"/>
        <w:ind w:left="360"/>
        <w:jc w:val="both"/>
        <w:rPr>
          <w:rFonts w:asciiTheme="minorHAnsi" w:hAnsiTheme="minorHAnsi" w:cstheme="minorHAnsi"/>
          <w:i/>
          <w:iCs/>
          <w:sz w:val="16"/>
          <w:szCs w:val="16"/>
        </w:rPr>
      </w:pPr>
      <w:r w:rsidRPr="00B8385F">
        <w:rPr>
          <w:rFonts w:asciiTheme="minorHAnsi" w:hAnsiTheme="minorHAnsi" w:cstheme="minorHAnsi"/>
          <w:i/>
          <w:iCs/>
          <w:sz w:val="16"/>
          <w:szCs w:val="16"/>
        </w:rPr>
        <w:t>Source: ACS 2022 5-Year Estimates</w:t>
      </w:r>
    </w:p>
    <w:p w14:paraId="6B29DD36" w14:textId="53548BB7" w:rsidR="0047653E" w:rsidRDefault="0047653E" w:rsidP="000A31FC">
      <w:pPr>
        <w:spacing w:after="120"/>
        <w:ind w:left="360"/>
        <w:jc w:val="both"/>
        <w:rPr>
          <w:rFonts w:asciiTheme="minorHAnsi" w:hAnsiTheme="minorHAnsi" w:cstheme="minorHAnsi"/>
        </w:rPr>
      </w:pPr>
      <w:r w:rsidRPr="0047653E">
        <w:rPr>
          <w:rFonts w:asciiTheme="minorHAnsi" w:hAnsiTheme="minorHAnsi" w:cstheme="minorHAnsi"/>
          <w:b/>
          <w:bCs/>
          <w:i/>
          <w:iCs/>
        </w:rPr>
        <w:t>Poverty:</w:t>
      </w:r>
      <w:r w:rsidRPr="0047653E">
        <w:rPr>
          <w:rFonts w:asciiTheme="minorHAnsi" w:hAnsiTheme="minorHAnsi" w:cstheme="minorHAnsi"/>
          <w:i/>
          <w:iCs/>
        </w:rPr>
        <w:t xml:space="preserve"> </w:t>
      </w:r>
      <w:r w:rsidRPr="0047653E">
        <w:rPr>
          <w:rFonts w:asciiTheme="minorHAnsi" w:hAnsiTheme="minorHAnsi" w:cstheme="minorHAnsi"/>
        </w:rPr>
        <w:t>According to 2022 ACS data, poverty rates are high, notably in Baltimore and Ludlow where they are substantially higher than the state and county averages. See Table 3 below for poverty figures for each town in the region.</w:t>
      </w:r>
    </w:p>
    <w:p w14:paraId="00DF43CD" w14:textId="38B5F80B" w:rsidR="0047653E" w:rsidRDefault="0047653E" w:rsidP="000A31FC">
      <w:pPr>
        <w:spacing w:after="120"/>
        <w:ind w:left="360"/>
        <w:jc w:val="both"/>
        <w:rPr>
          <w:rFonts w:asciiTheme="minorHAnsi" w:hAnsiTheme="minorHAnsi" w:cstheme="minorHAnsi"/>
          <w:b/>
          <w:bCs/>
          <w:sz w:val="20"/>
          <w:szCs w:val="20"/>
        </w:rPr>
      </w:pPr>
      <w:r>
        <w:rPr>
          <w:rFonts w:asciiTheme="minorHAnsi" w:hAnsiTheme="minorHAnsi" w:cstheme="minorHAnsi"/>
          <w:b/>
          <w:bCs/>
          <w:sz w:val="20"/>
          <w:szCs w:val="20"/>
        </w:rPr>
        <w:t>Table 3: Poverty Status in the Past 12 Months of People in Housing Units</w:t>
      </w:r>
      <w:r w:rsidR="0050052E">
        <w:rPr>
          <w:rFonts w:asciiTheme="minorHAnsi" w:hAnsiTheme="minorHAnsi" w:cstheme="minorHAnsi"/>
          <w:b/>
          <w:bCs/>
          <w:sz w:val="20"/>
          <w:szCs w:val="20"/>
        </w:rPr>
        <w:t xml:space="preserve"> in the Mount Ascutney Region</w:t>
      </w:r>
    </w:p>
    <w:tbl>
      <w:tblPr>
        <w:tblStyle w:val="GridTable4-Accent6"/>
        <w:tblpPr w:leftFromText="180" w:rightFromText="180" w:vertAnchor="text" w:horzAnchor="margin" w:tblpX="355" w:tblpY="64"/>
        <w:tblW w:w="9259" w:type="dxa"/>
        <w:tblLook w:val="04A0" w:firstRow="1" w:lastRow="0" w:firstColumn="1" w:lastColumn="0" w:noHBand="0" w:noVBand="1"/>
      </w:tblPr>
      <w:tblGrid>
        <w:gridCol w:w="1647"/>
        <w:gridCol w:w="2398"/>
        <w:gridCol w:w="2610"/>
        <w:gridCol w:w="2604"/>
      </w:tblGrid>
      <w:tr w:rsidR="0047653E" w:rsidRPr="009A66CE" w14:paraId="20F4DF00" w14:textId="77777777" w:rsidTr="00246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hideMark/>
          </w:tcPr>
          <w:p w14:paraId="73943DB7" w14:textId="77777777" w:rsidR="0047653E" w:rsidRPr="00BF0958" w:rsidRDefault="0047653E" w:rsidP="00246E22">
            <w:pPr>
              <w:spacing w:after="0"/>
              <w:jc w:val="both"/>
              <w:rPr>
                <w:rFonts w:asciiTheme="minorHAnsi" w:hAnsiTheme="minorHAnsi" w:cstheme="minorHAnsi"/>
                <w:b w:val="0"/>
                <w:bCs w:val="0"/>
                <w:sz w:val="16"/>
                <w:szCs w:val="16"/>
              </w:rPr>
            </w:pPr>
            <w:r w:rsidRPr="00BF0958">
              <w:rPr>
                <w:rFonts w:asciiTheme="minorHAnsi" w:hAnsiTheme="minorHAnsi" w:cstheme="minorHAnsi"/>
                <w:sz w:val="16"/>
                <w:szCs w:val="16"/>
              </w:rPr>
              <w:t> </w:t>
            </w:r>
          </w:p>
        </w:tc>
        <w:tc>
          <w:tcPr>
            <w:tcW w:w="2398" w:type="dxa"/>
            <w:hideMark/>
          </w:tcPr>
          <w:p w14:paraId="19109D7A" w14:textId="77777777" w:rsidR="0047653E" w:rsidRPr="00BF0958" w:rsidRDefault="0047653E" w:rsidP="00246E22">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BF0958">
              <w:rPr>
                <w:rFonts w:asciiTheme="minorHAnsi" w:hAnsiTheme="minorHAnsi" w:cstheme="minorHAnsi"/>
                <w:sz w:val="16"/>
                <w:szCs w:val="16"/>
              </w:rPr>
              <w:t>Population</w:t>
            </w:r>
          </w:p>
        </w:tc>
        <w:tc>
          <w:tcPr>
            <w:tcW w:w="2610" w:type="dxa"/>
            <w:hideMark/>
          </w:tcPr>
          <w:p w14:paraId="2D761EDF" w14:textId="77777777" w:rsidR="0047653E" w:rsidRPr="00BF0958" w:rsidRDefault="0047653E" w:rsidP="00246E2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BF0958">
              <w:rPr>
                <w:rFonts w:asciiTheme="minorHAnsi" w:hAnsiTheme="minorHAnsi" w:cstheme="minorHAnsi"/>
                <w:sz w:val="16"/>
                <w:szCs w:val="16"/>
              </w:rPr>
              <w:t>Below Poverty Level</w:t>
            </w:r>
          </w:p>
        </w:tc>
        <w:tc>
          <w:tcPr>
            <w:tcW w:w="2604" w:type="dxa"/>
            <w:hideMark/>
          </w:tcPr>
          <w:p w14:paraId="278B2AC7" w14:textId="77777777" w:rsidR="0047653E" w:rsidRPr="00BF0958" w:rsidRDefault="0047653E" w:rsidP="00246E22">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BF0958">
              <w:rPr>
                <w:rFonts w:asciiTheme="minorHAnsi" w:hAnsiTheme="minorHAnsi" w:cstheme="minorHAnsi"/>
                <w:sz w:val="16"/>
                <w:szCs w:val="16"/>
              </w:rPr>
              <w:t>Percent Below Poverty Level</w:t>
            </w:r>
          </w:p>
        </w:tc>
      </w:tr>
      <w:tr w:rsidR="0047653E" w:rsidRPr="00B07050" w14:paraId="09AF0146" w14:textId="77777777" w:rsidTr="00246E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6D1BBA25"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Andover</w:t>
            </w:r>
          </w:p>
        </w:tc>
        <w:tc>
          <w:tcPr>
            <w:tcW w:w="2398" w:type="dxa"/>
            <w:noWrap/>
            <w:hideMark/>
          </w:tcPr>
          <w:p w14:paraId="5BC111A7"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612</w:t>
            </w:r>
          </w:p>
        </w:tc>
        <w:tc>
          <w:tcPr>
            <w:tcW w:w="2610" w:type="dxa"/>
            <w:noWrap/>
            <w:hideMark/>
          </w:tcPr>
          <w:p w14:paraId="18CF2962"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43</w:t>
            </w:r>
          </w:p>
        </w:tc>
        <w:tc>
          <w:tcPr>
            <w:tcW w:w="2604" w:type="dxa"/>
            <w:noWrap/>
            <w:hideMark/>
          </w:tcPr>
          <w:p w14:paraId="5E7355CA"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7.0%</w:t>
            </w:r>
          </w:p>
        </w:tc>
      </w:tr>
      <w:tr w:rsidR="0047653E" w:rsidRPr="00B07050" w14:paraId="6DE46E34" w14:textId="77777777" w:rsidTr="00246E22">
        <w:trPr>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19D09A92"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Baltimore</w:t>
            </w:r>
          </w:p>
        </w:tc>
        <w:tc>
          <w:tcPr>
            <w:tcW w:w="2398" w:type="dxa"/>
            <w:noWrap/>
            <w:hideMark/>
          </w:tcPr>
          <w:p w14:paraId="72C69918"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338</w:t>
            </w:r>
          </w:p>
        </w:tc>
        <w:tc>
          <w:tcPr>
            <w:tcW w:w="2610" w:type="dxa"/>
            <w:noWrap/>
            <w:hideMark/>
          </w:tcPr>
          <w:p w14:paraId="47EC278D"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100</w:t>
            </w:r>
          </w:p>
        </w:tc>
        <w:tc>
          <w:tcPr>
            <w:tcW w:w="2604" w:type="dxa"/>
            <w:noWrap/>
            <w:hideMark/>
          </w:tcPr>
          <w:p w14:paraId="49B6338C"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29.6%</w:t>
            </w:r>
          </w:p>
        </w:tc>
      </w:tr>
      <w:tr w:rsidR="0047653E" w:rsidRPr="00B07050" w14:paraId="600395B4" w14:textId="77777777" w:rsidTr="00246E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6F64B3C1"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Cavendish</w:t>
            </w:r>
          </w:p>
        </w:tc>
        <w:tc>
          <w:tcPr>
            <w:tcW w:w="2398" w:type="dxa"/>
            <w:noWrap/>
            <w:hideMark/>
          </w:tcPr>
          <w:p w14:paraId="0550DE7D"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1,364</w:t>
            </w:r>
          </w:p>
        </w:tc>
        <w:tc>
          <w:tcPr>
            <w:tcW w:w="2610" w:type="dxa"/>
            <w:noWrap/>
            <w:hideMark/>
          </w:tcPr>
          <w:p w14:paraId="0A742021"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81</w:t>
            </w:r>
          </w:p>
        </w:tc>
        <w:tc>
          <w:tcPr>
            <w:tcW w:w="2604" w:type="dxa"/>
            <w:noWrap/>
            <w:hideMark/>
          </w:tcPr>
          <w:p w14:paraId="240146BD" w14:textId="77777777" w:rsidR="0047653E" w:rsidRPr="0047653E" w:rsidRDefault="0047653E" w:rsidP="00246E22">
            <w:pPr>
              <w:spacing w:after="0"/>
              <w:ind w:left="1440" w:hanging="14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5.9%</w:t>
            </w:r>
          </w:p>
        </w:tc>
      </w:tr>
      <w:tr w:rsidR="0047653E" w:rsidRPr="00B07050" w14:paraId="4F97437E" w14:textId="77777777" w:rsidTr="00246E22">
        <w:trPr>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0492FA74"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Chester</w:t>
            </w:r>
          </w:p>
        </w:tc>
        <w:tc>
          <w:tcPr>
            <w:tcW w:w="2398" w:type="dxa"/>
            <w:noWrap/>
            <w:hideMark/>
          </w:tcPr>
          <w:p w14:paraId="159EE260"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3,017</w:t>
            </w:r>
          </w:p>
        </w:tc>
        <w:tc>
          <w:tcPr>
            <w:tcW w:w="2610" w:type="dxa"/>
            <w:noWrap/>
            <w:hideMark/>
          </w:tcPr>
          <w:p w14:paraId="0B5F3320"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161</w:t>
            </w:r>
          </w:p>
        </w:tc>
        <w:tc>
          <w:tcPr>
            <w:tcW w:w="2604" w:type="dxa"/>
            <w:noWrap/>
            <w:hideMark/>
          </w:tcPr>
          <w:p w14:paraId="5E391995"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5.3%</w:t>
            </w:r>
          </w:p>
        </w:tc>
      </w:tr>
      <w:tr w:rsidR="0047653E" w:rsidRPr="00B07050" w14:paraId="18EEE919" w14:textId="77777777" w:rsidTr="00246E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790514DB"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Ludlow</w:t>
            </w:r>
          </w:p>
        </w:tc>
        <w:tc>
          <w:tcPr>
            <w:tcW w:w="2398" w:type="dxa"/>
            <w:noWrap/>
            <w:hideMark/>
          </w:tcPr>
          <w:p w14:paraId="52FE1ED4"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1,951</w:t>
            </w:r>
          </w:p>
        </w:tc>
        <w:tc>
          <w:tcPr>
            <w:tcW w:w="2610" w:type="dxa"/>
            <w:noWrap/>
            <w:hideMark/>
          </w:tcPr>
          <w:p w14:paraId="79F17BDC"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281</w:t>
            </w:r>
          </w:p>
        </w:tc>
        <w:tc>
          <w:tcPr>
            <w:tcW w:w="2604" w:type="dxa"/>
            <w:noWrap/>
            <w:hideMark/>
          </w:tcPr>
          <w:p w14:paraId="4029A6C0"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14.4%</w:t>
            </w:r>
          </w:p>
        </w:tc>
      </w:tr>
      <w:tr w:rsidR="0047653E" w:rsidRPr="00B07050" w14:paraId="44B31F69" w14:textId="77777777" w:rsidTr="00246E22">
        <w:trPr>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2071134A"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Reading</w:t>
            </w:r>
          </w:p>
        </w:tc>
        <w:tc>
          <w:tcPr>
            <w:tcW w:w="2398" w:type="dxa"/>
            <w:noWrap/>
            <w:hideMark/>
          </w:tcPr>
          <w:p w14:paraId="2CFDC1FE"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625</w:t>
            </w:r>
          </w:p>
        </w:tc>
        <w:tc>
          <w:tcPr>
            <w:tcW w:w="2610" w:type="dxa"/>
            <w:noWrap/>
            <w:hideMark/>
          </w:tcPr>
          <w:p w14:paraId="1E080B63"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50</w:t>
            </w:r>
          </w:p>
        </w:tc>
        <w:tc>
          <w:tcPr>
            <w:tcW w:w="2604" w:type="dxa"/>
            <w:noWrap/>
            <w:hideMark/>
          </w:tcPr>
          <w:p w14:paraId="35A98DD6"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8.0%</w:t>
            </w:r>
          </w:p>
        </w:tc>
      </w:tr>
      <w:tr w:rsidR="0047653E" w:rsidRPr="00B07050" w14:paraId="34C83667" w14:textId="77777777" w:rsidTr="00246E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26C8E2BA"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Springfield</w:t>
            </w:r>
          </w:p>
        </w:tc>
        <w:tc>
          <w:tcPr>
            <w:tcW w:w="2398" w:type="dxa"/>
            <w:noWrap/>
            <w:hideMark/>
          </w:tcPr>
          <w:p w14:paraId="03AEBC69"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8,700</w:t>
            </w:r>
          </w:p>
        </w:tc>
        <w:tc>
          <w:tcPr>
            <w:tcW w:w="2610" w:type="dxa"/>
            <w:noWrap/>
            <w:hideMark/>
          </w:tcPr>
          <w:p w14:paraId="617EBC85"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1,104</w:t>
            </w:r>
          </w:p>
        </w:tc>
        <w:tc>
          <w:tcPr>
            <w:tcW w:w="2604" w:type="dxa"/>
            <w:noWrap/>
            <w:hideMark/>
          </w:tcPr>
          <w:p w14:paraId="561312E1"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12.7%</w:t>
            </w:r>
          </w:p>
        </w:tc>
      </w:tr>
      <w:tr w:rsidR="0047653E" w:rsidRPr="00B07050" w14:paraId="2EBE2791" w14:textId="77777777" w:rsidTr="00246E22">
        <w:trPr>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7FDBE023"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Weathersfield</w:t>
            </w:r>
          </w:p>
        </w:tc>
        <w:tc>
          <w:tcPr>
            <w:tcW w:w="2398" w:type="dxa"/>
            <w:noWrap/>
            <w:hideMark/>
          </w:tcPr>
          <w:p w14:paraId="31328CF0"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2,832</w:t>
            </w:r>
          </w:p>
        </w:tc>
        <w:tc>
          <w:tcPr>
            <w:tcW w:w="2610" w:type="dxa"/>
            <w:noWrap/>
            <w:hideMark/>
          </w:tcPr>
          <w:p w14:paraId="7B558E27"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298</w:t>
            </w:r>
          </w:p>
        </w:tc>
        <w:tc>
          <w:tcPr>
            <w:tcW w:w="2604" w:type="dxa"/>
            <w:noWrap/>
            <w:hideMark/>
          </w:tcPr>
          <w:p w14:paraId="1C3B6C80"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10.5%</w:t>
            </w:r>
          </w:p>
        </w:tc>
      </w:tr>
      <w:tr w:rsidR="0047653E" w:rsidRPr="00B07050" w14:paraId="4E6EC179" w14:textId="77777777" w:rsidTr="00246E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5000C0F0"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West Windsor</w:t>
            </w:r>
          </w:p>
        </w:tc>
        <w:tc>
          <w:tcPr>
            <w:tcW w:w="2398" w:type="dxa"/>
            <w:noWrap/>
            <w:hideMark/>
          </w:tcPr>
          <w:p w14:paraId="47F69A2B"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1,044</w:t>
            </w:r>
          </w:p>
        </w:tc>
        <w:tc>
          <w:tcPr>
            <w:tcW w:w="2610" w:type="dxa"/>
            <w:noWrap/>
            <w:hideMark/>
          </w:tcPr>
          <w:p w14:paraId="5A853B70"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32</w:t>
            </w:r>
          </w:p>
        </w:tc>
        <w:tc>
          <w:tcPr>
            <w:tcW w:w="2604" w:type="dxa"/>
            <w:noWrap/>
            <w:hideMark/>
          </w:tcPr>
          <w:p w14:paraId="44460D08"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3.1%</w:t>
            </w:r>
          </w:p>
        </w:tc>
      </w:tr>
      <w:tr w:rsidR="0047653E" w:rsidRPr="00B07050" w14:paraId="1B2E652A" w14:textId="77777777" w:rsidTr="00246E22">
        <w:trPr>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0A01296F"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Windsor</w:t>
            </w:r>
          </w:p>
        </w:tc>
        <w:tc>
          <w:tcPr>
            <w:tcW w:w="2398" w:type="dxa"/>
            <w:noWrap/>
            <w:hideMark/>
          </w:tcPr>
          <w:p w14:paraId="699F3F12"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3,434</w:t>
            </w:r>
          </w:p>
        </w:tc>
        <w:tc>
          <w:tcPr>
            <w:tcW w:w="2610" w:type="dxa"/>
            <w:noWrap/>
            <w:hideMark/>
          </w:tcPr>
          <w:p w14:paraId="1D4374C6"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218</w:t>
            </w:r>
          </w:p>
        </w:tc>
        <w:tc>
          <w:tcPr>
            <w:tcW w:w="2604" w:type="dxa"/>
            <w:noWrap/>
            <w:hideMark/>
          </w:tcPr>
          <w:p w14:paraId="3FE3A499"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6.3%</w:t>
            </w:r>
          </w:p>
        </w:tc>
      </w:tr>
      <w:tr w:rsidR="0047653E" w:rsidRPr="00B07050" w14:paraId="65BFE1D3" w14:textId="77777777" w:rsidTr="00246E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5DEBBF18"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MARC region</w:t>
            </w:r>
          </w:p>
        </w:tc>
        <w:tc>
          <w:tcPr>
            <w:tcW w:w="2398" w:type="dxa"/>
            <w:hideMark/>
          </w:tcPr>
          <w:p w14:paraId="380ED675"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23,917</w:t>
            </w:r>
          </w:p>
        </w:tc>
        <w:tc>
          <w:tcPr>
            <w:tcW w:w="2610" w:type="dxa"/>
            <w:noWrap/>
            <w:hideMark/>
          </w:tcPr>
          <w:p w14:paraId="2C461F12"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2,368</w:t>
            </w:r>
          </w:p>
        </w:tc>
        <w:tc>
          <w:tcPr>
            <w:tcW w:w="2604" w:type="dxa"/>
            <w:noWrap/>
            <w:hideMark/>
          </w:tcPr>
          <w:p w14:paraId="1922C3D8" w14:textId="77777777" w:rsidR="0047653E" w:rsidRPr="0047653E" w:rsidRDefault="0047653E" w:rsidP="00246E22">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9.9%</w:t>
            </w:r>
          </w:p>
        </w:tc>
      </w:tr>
      <w:tr w:rsidR="0047653E" w:rsidRPr="00B07050" w14:paraId="67A197EF" w14:textId="77777777" w:rsidTr="00246E22">
        <w:trPr>
          <w:trHeight w:val="20"/>
        </w:trPr>
        <w:tc>
          <w:tcPr>
            <w:cnfStyle w:val="001000000000" w:firstRow="0" w:lastRow="0" w:firstColumn="1" w:lastColumn="0" w:oddVBand="0" w:evenVBand="0" w:oddHBand="0" w:evenHBand="0" w:firstRowFirstColumn="0" w:firstRowLastColumn="0" w:lastRowFirstColumn="0" w:lastRowLastColumn="0"/>
            <w:tcW w:w="1647" w:type="dxa"/>
            <w:hideMark/>
          </w:tcPr>
          <w:p w14:paraId="0D4749E0" w14:textId="77777777" w:rsidR="0047653E" w:rsidRPr="0047653E" w:rsidRDefault="0047653E" w:rsidP="00246E22">
            <w:pPr>
              <w:spacing w:after="0"/>
              <w:jc w:val="both"/>
              <w:rPr>
                <w:rFonts w:asciiTheme="minorHAnsi" w:hAnsiTheme="minorHAnsi" w:cstheme="minorHAnsi"/>
                <w:sz w:val="16"/>
                <w:szCs w:val="16"/>
              </w:rPr>
            </w:pPr>
            <w:r w:rsidRPr="0047653E">
              <w:rPr>
                <w:rFonts w:asciiTheme="minorHAnsi" w:hAnsiTheme="minorHAnsi" w:cstheme="minorHAnsi"/>
                <w:sz w:val="16"/>
                <w:szCs w:val="16"/>
              </w:rPr>
              <w:t>Vermont</w:t>
            </w:r>
          </w:p>
        </w:tc>
        <w:tc>
          <w:tcPr>
            <w:tcW w:w="2398" w:type="dxa"/>
            <w:noWrap/>
            <w:hideMark/>
          </w:tcPr>
          <w:p w14:paraId="02E9D146"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624,770</w:t>
            </w:r>
          </w:p>
        </w:tc>
        <w:tc>
          <w:tcPr>
            <w:tcW w:w="2610" w:type="dxa"/>
            <w:noWrap/>
            <w:hideMark/>
          </w:tcPr>
          <w:p w14:paraId="5F0E1510" w14:textId="77777777" w:rsidR="0047653E" w:rsidRPr="0047653E" w:rsidRDefault="0047653E" w:rsidP="00246E22">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65.162</w:t>
            </w:r>
          </w:p>
        </w:tc>
        <w:tc>
          <w:tcPr>
            <w:tcW w:w="2604" w:type="dxa"/>
            <w:noWrap/>
            <w:hideMark/>
          </w:tcPr>
          <w:p w14:paraId="3A4AEE37" w14:textId="77777777" w:rsidR="0047653E" w:rsidRPr="0047653E" w:rsidRDefault="0047653E" w:rsidP="00246E22">
            <w:pPr>
              <w:keepNext/>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7653E">
              <w:rPr>
                <w:rFonts w:asciiTheme="minorHAnsi" w:hAnsiTheme="minorHAnsi" w:cstheme="minorHAnsi"/>
                <w:sz w:val="16"/>
                <w:szCs w:val="16"/>
              </w:rPr>
              <w:t>10.4%</w:t>
            </w:r>
          </w:p>
        </w:tc>
      </w:tr>
    </w:tbl>
    <w:p w14:paraId="0CF6C2C5" w14:textId="5B4D2279" w:rsidR="0047653E" w:rsidRPr="00B8385F" w:rsidRDefault="00B8385F" w:rsidP="000A31FC">
      <w:pPr>
        <w:spacing w:after="120"/>
        <w:ind w:left="360"/>
        <w:jc w:val="both"/>
        <w:rPr>
          <w:rFonts w:asciiTheme="minorHAnsi" w:hAnsiTheme="minorHAnsi" w:cstheme="minorHAnsi"/>
          <w:i/>
          <w:iCs/>
          <w:sz w:val="16"/>
          <w:szCs w:val="16"/>
        </w:rPr>
      </w:pPr>
      <w:r w:rsidRPr="00B8385F">
        <w:rPr>
          <w:rFonts w:asciiTheme="minorHAnsi" w:hAnsiTheme="minorHAnsi" w:cstheme="minorHAnsi"/>
          <w:i/>
          <w:iCs/>
          <w:sz w:val="16"/>
          <w:szCs w:val="16"/>
        </w:rPr>
        <w:t>Source: ACS 2022 5-Year Estimates</w:t>
      </w:r>
    </w:p>
    <w:p w14:paraId="4D0956CC" w14:textId="268804BE" w:rsidR="00F13567" w:rsidRPr="00F13567" w:rsidRDefault="00F13567" w:rsidP="00F13567">
      <w:pPr>
        <w:ind w:left="360"/>
        <w:jc w:val="both"/>
        <w:rPr>
          <w:rFonts w:cs="Calibri"/>
          <w:color w:val="FF0000"/>
        </w:rPr>
      </w:pPr>
      <w:r w:rsidRPr="00F13567">
        <w:rPr>
          <w:rFonts w:cs="Calibri"/>
          <w:b/>
          <w:bCs/>
          <w:i/>
          <w:iCs/>
        </w:rPr>
        <w:lastRenderedPageBreak/>
        <w:t>Limited English Proficiency (LEP)</w:t>
      </w:r>
      <w:r>
        <w:rPr>
          <w:rFonts w:cs="Calibri"/>
          <w:b/>
          <w:bCs/>
          <w:i/>
          <w:iCs/>
        </w:rPr>
        <w:t>:</w:t>
      </w:r>
      <w:r w:rsidRPr="00F13567">
        <w:rPr>
          <w:rFonts w:cs="Calibri"/>
          <w:b/>
          <w:bCs/>
          <w:i/>
          <w:iCs/>
        </w:rPr>
        <w:t xml:space="preserve"> </w:t>
      </w:r>
      <w:r w:rsidRPr="00F13567">
        <w:rPr>
          <w:rFonts w:cs="Calibri"/>
        </w:rPr>
        <w:t>According to 2022 ACS data, there are a low number</w:t>
      </w:r>
      <w:r w:rsidRPr="00F13567">
        <w:rPr>
          <w:rFonts w:cs="Calibri"/>
          <w:color w:val="FF0000"/>
        </w:rPr>
        <w:t xml:space="preserve"> </w:t>
      </w:r>
      <w:r w:rsidRPr="00F13567">
        <w:rPr>
          <w:rFonts w:cs="Calibri"/>
        </w:rPr>
        <w:t>of households with limited English. Table 4 below summarizes 2022 ACS data on households that speak other languages and have limited ability to speak English. Most towns have some number of Limited-English households, with Cavendish, Reading, and Windsor having the highest percentages of Limited-English households.</w:t>
      </w:r>
    </w:p>
    <w:p w14:paraId="5F369BF1" w14:textId="5656A423" w:rsidR="00F13567" w:rsidRDefault="0050052E" w:rsidP="000A31FC">
      <w:pPr>
        <w:spacing w:after="120"/>
        <w:ind w:left="360"/>
        <w:jc w:val="both"/>
        <w:rPr>
          <w:rFonts w:asciiTheme="minorHAnsi" w:hAnsiTheme="minorHAnsi" w:cstheme="minorHAnsi"/>
          <w:b/>
          <w:bCs/>
          <w:sz w:val="20"/>
          <w:szCs w:val="20"/>
        </w:rPr>
      </w:pPr>
      <w:r>
        <w:rPr>
          <w:rFonts w:asciiTheme="minorHAnsi" w:hAnsiTheme="minorHAnsi" w:cstheme="minorHAnsi"/>
          <w:b/>
          <w:bCs/>
          <w:sz w:val="20"/>
          <w:szCs w:val="20"/>
        </w:rPr>
        <w:t>Table 4: Limited-English Households in the Mount Ascutney Region</w:t>
      </w:r>
    </w:p>
    <w:tbl>
      <w:tblPr>
        <w:tblStyle w:val="GridTable4-Accent6"/>
        <w:tblpPr w:leftFromText="180" w:rightFromText="180" w:vertAnchor="text" w:tblpX="355" w:tblpY="1"/>
        <w:tblW w:w="10009" w:type="dxa"/>
        <w:tblLayout w:type="fixed"/>
        <w:tblLook w:val="04A0" w:firstRow="1" w:lastRow="0" w:firstColumn="1" w:lastColumn="0" w:noHBand="0" w:noVBand="1"/>
      </w:tblPr>
      <w:tblGrid>
        <w:gridCol w:w="1165"/>
        <w:gridCol w:w="900"/>
        <w:gridCol w:w="810"/>
        <w:gridCol w:w="810"/>
        <w:gridCol w:w="990"/>
        <w:gridCol w:w="900"/>
        <w:gridCol w:w="810"/>
        <w:gridCol w:w="990"/>
        <w:gridCol w:w="720"/>
        <w:gridCol w:w="810"/>
        <w:gridCol w:w="1104"/>
      </w:tblGrid>
      <w:tr w:rsidR="001F2AFF" w:rsidRPr="009A66CE" w14:paraId="1B5C3C7E" w14:textId="77777777" w:rsidTr="001F2AF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24549879" w14:textId="77777777" w:rsidR="001F2AFF" w:rsidRPr="009A66CE" w:rsidRDefault="001F2AFF" w:rsidP="001F2AFF">
            <w:pPr>
              <w:spacing w:after="0"/>
              <w:rPr>
                <w:rFonts w:asciiTheme="minorHAnsi" w:hAnsiTheme="minorHAnsi" w:cstheme="minorHAnsi"/>
                <w:b w:val="0"/>
                <w:bCs w:val="0"/>
                <w:color w:val="000000"/>
                <w:sz w:val="16"/>
                <w:szCs w:val="16"/>
              </w:rPr>
            </w:pPr>
          </w:p>
        </w:tc>
        <w:tc>
          <w:tcPr>
            <w:tcW w:w="900" w:type="dxa"/>
            <w:hideMark/>
          </w:tcPr>
          <w:p w14:paraId="5C6A1AEB" w14:textId="77777777"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Only English</w:t>
            </w:r>
          </w:p>
        </w:tc>
        <w:tc>
          <w:tcPr>
            <w:tcW w:w="810" w:type="dxa"/>
            <w:hideMark/>
          </w:tcPr>
          <w:p w14:paraId="6D9795B7" w14:textId="77777777"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Spanish</w:t>
            </w:r>
          </w:p>
        </w:tc>
        <w:tc>
          <w:tcPr>
            <w:tcW w:w="810" w:type="dxa"/>
            <w:hideMark/>
          </w:tcPr>
          <w:p w14:paraId="6B578058" w14:textId="77777777"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Limited-English Spanish</w:t>
            </w:r>
          </w:p>
        </w:tc>
        <w:tc>
          <w:tcPr>
            <w:tcW w:w="990" w:type="dxa"/>
            <w:hideMark/>
          </w:tcPr>
          <w:p w14:paraId="16E39B58" w14:textId="77777777"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Other Indo-European</w:t>
            </w:r>
          </w:p>
        </w:tc>
        <w:tc>
          <w:tcPr>
            <w:tcW w:w="900" w:type="dxa"/>
            <w:hideMark/>
          </w:tcPr>
          <w:p w14:paraId="34CB3DAF" w14:textId="77777777"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Limited-English Indo-European</w:t>
            </w:r>
          </w:p>
        </w:tc>
        <w:tc>
          <w:tcPr>
            <w:tcW w:w="810" w:type="dxa"/>
            <w:hideMark/>
          </w:tcPr>
          <w:p w14:paraId="740A3DAF" w14:textId="77777777"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Asian/ Pacific Island</w:t>
            </w:r>
          </w:p>
        </w:tc>
        <w:tc>
          <w:tcPr>
            <w:tcW w:w="990" w:type="dxa"/>
            <w:hideMark/>
          </w:tcPr>
          <w:p w14:paraId="47ED5DFB" w14:textId="77777777"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Limited-English Asian/ Pacific Island</w:t>
            </w:r>
          </w:p>
        </w:tc>
        <w:tc>
          <w:tcPr>
            <w:tcW w:w="720" w:type="dxa"/>
            <w:hideMark/>
          </w:tcPr>
          <w:p w14:paraId="783B4650" w14:textId="77777777"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 xml:space="preserve">Other </w:t>
            </w:r>
          </w:p>
        </w:tc>
        <w:tc>
          <w:tcPr>
            <w:tcW w:w="810" w:type="dxa"/>
            <w:hideMark/>
          </w:tcPr>
          <w:p w14:paraId="15056CFE" w14:textId="77777777"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Limited-English Other</w:t>
            </w:r>
          </w:p>
        </w:tc>
        <w:tc>
          <w:tcPr>
            <w:tcW w:w="1104" w:type="dxa"/>
            <w:hideMark/>
          </w:tcPr>
          <w:p w14:paraId="0C32FE8E" w14:textId="7BCB6DA3" w:rsidR="001F2AFF" w:rsidRPr="001F2AFF" w:rsidRDefault="001F2AFF" w:rsidP="001F2AF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Pr>
                <w:rFonts w:asciiTheme="minorHAnsi" w:hAnsiTheme="minorHAnsi" w:cstheme="minorHAnsi"/>
                <w:sz w:val="16"/>
                <w:szCs w:val="16"/>
              </w:rPr>
              <w:t xml:space="preserve">All </w:t>
            </w:r>
            <w:r w:rsidRPr="001F2AFF">
              <w:rPr>
                <w:rFonts w:asciiTheme="minorHAnsi" w:hAnsiTheme="minorHAnsi" w:cstheme="minorHAnsi"/>
                <w:sz w:val="16"/>
                <w:szCs w:val="16"/>
              </w:rPr>
              <w:t>Limited-English % of Total</w:t>
            </w:r>
          </w:p>
        </w:tc>
      </w:tr>
      <w:tr w:rsidR="001F2AFF" w:rsidRPr="00B07050" w14:paraId="1FA8D97F" w14:textId="77777777" w:rsidTr="001F2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3C897C60"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Andover</w:t>
            </w:r>
          </w:p>
        </w:tc>
        <w:tc>
          <w:tcPr>
            <w:tcW w:w="900" w:type="dxa"/>
            <w:noWrap/>
            <w:hideMark/>
          </w:tcPr>
          <w:p w14:paraId="0175371C"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589</w:t>
            </w:r>
          </w:p>
        </w:tc>
        <w:tc>
          <w:tcPr>
            <w:tcW w:w="810" w:type="dxa"/>
            <w:noWrap/>
            <w:hideMark/>
          </w:tcPr>
          <w:p w14:paraId="08CFE48C"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w:t>
            </w:r>
          </w:p>
        </w:tc>
        <w:tc>
          <w:tcPr>
            <w:tcW w:w="810" w:type="dxa"/>
            <w:noWrap/>
            <w:hideMark/>
          </w:tcPr>
          <w:p w14:paraId="2A7F8B41"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w:t>
            </w:r>
          </w:p>
        </w:tc>
        <w:tc>
          <w:tcPr>
            <w:tcW w:w="990" w:type="dxa"/>
            <w:noWrap/>
            <w:hideMark/>
          </w:tcPr>
          <w:p w14:paraId="7A0E0B06"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w:t>
            </w:r>
          </w:p>
        </w:tc>
        <w:tc>
          <w:tcPr>
            <w:tcW w:w="900" w:type="dxa"/>
            <w:noWrap/>
            <w:hideMark/>
          </w:tcPr>
          <w:p w14:paraId="07C9D58A"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w:t>
            </w:r>
          </w:p>
        </w:tc>
        <w:tc>
          <w:tcPr>
            <w:tcW w:w="810" w:type="dxa"/>
            <w:noWrap/>
            <w:hideMark/>
          </w:tcPr>
          <w:p w14:paraId="6511BDA9"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74A5F4E0"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1DB03894"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0C773B58"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1104" w:type="dxa"/>
            <w:noWrap/>
            <w:hideMark/>
          </w:tcPr>
          <w:p w14:paraId="552C4D93"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1.8%</w:t>
            </w:r>
          </w:p>
        </w:tc>
      </w:tr>
      <w:tr w:rsidR="001F2AFF" w:rsidRPr="00B07050" w14:paraId="4E53278F" w14:textId="77777777" w:rsidTr="001F2AFF">
        <w:trPr>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2BAC8F7D"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Baltimore</w:t>
            </w:r>
          </w:p>
        </w:tc>
        <w:tc>
          <w:tcPr>
            <w:tcW w:w="900" w:type="dxa"/>
            <w:noWrap/>
            <w:hideMark/>
          </w:tcPr>
          <w:p w14:paraId="16098AA6"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334</w:t>
            </w:r>
          </w:p>
        </w:tc>
        <w:tc>
          <w:tcPr>
            <w:tcW w:w="810" w:type="dxa"/>
            <w:noWrap/>
            <w:hideMark/>
          </w:tcPr>
          <w:p w14:paraId="0718CCCA"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5D7503A0"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6D18EB56"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w:t>
            </w:r>
          </w:p>
        </w:tc>
        <w:tc>
          <w:tcPr>
            <w:tcW w:w="900" w:type="dxa"/>
            <w:noWrap/>
            <w:hideMark/>
          </w:tcPr>
          <w:p w14:paraId="700936C1"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w:t>
            </w:r>
          </w:p>
        </w:tc>
        <w:tc>
          <w:tcPr>
            <w:tcW w:w="810" w:type="dxa"/>
            <w:noWrap/>
            <w:hideMark/>
          </w:tcPr>
          <w:p w14:paraId="2C867556"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3D503B62"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4A0301F5"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706EE84C"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1104" w:type="dxa"/>
            <w:noWrap/>
            <w:hideMark/>
          </w:tcPr>
          <w:p w14:paraId="69D292B5"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0.6%</w:t>
            </w:r>
          </w:p>
        </w:tc>
      </w:tr>
      <w:tr w:rsidR="001F2AFF" w:rsidRPr="00B07050" w14:paraId="2BEC1459" w14:textId="77777777" w:rsidTr="001F2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672171D0"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Cavendish</w:t>
            </w:r>
          </w:p>
        </w:tc>
        <w:tc>
          <w:tcPr>
            <w:tcW w:w="900" w:type="dxa"/>
            <w:noWrap/>
            <w:hideMark/>
          </w:tcPr>
          <w:p w14:paraId="091822BD"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1,190</w:t>
            </w:r>
          </w:p>
        </w:tc>
        <w:tc>
          <w:tcPr>
            <w:tcW w:w="810" w:type="dxa"/>
            <w:noWrap/>
            <w:hideMark/>
          </w:tcPr>
          <w:p w14:paraId="7DF96EE5"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65</w:t>
            </w:r>
          </w:p>
        </w:tc>
        <w:tc>
          <w:tcPr>
            <w:tcW w:w="810" w:type="dxa"/>
            <w:noWrap/>
            <w:hideMark/>
          </w:tcPr>
          <w:p w14:paraId="652036E8"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15</w:t>
            </w:r>
          </w:p>
        </w:tc>
        <w:tc>
          <w:tcPr>
            <w:tcW w:w="990" w:type="dxa"/>
            <w:noWrap/>
            <w:hideMark/>
          </w:tcPr>
          <w:p w14:paraId="1FE75BE4"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37</w:t>
            </w:r>
          </w:p>
        </w:tc>
        <w:tc>
          <w:tcPr>
            <w:tcW w:w="900" w:type="dxa"/>
            <w:noWrap/>
            <w:hideMark/>
          </w:tcPr>
          <w:p w14:paraId="09BD0C1A"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29</w:t>
            </w:r>
          </w:p>
        </w:tc>
        <w:tc>
          <w:tcPr>
            <w:tcW w:w="810" w:type="dxa"/>
            <w:noWrap/>
            <w:hideMark/>
          </w:tcPr>
          <w:p w14:paraId="348605DB"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149B762E"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2B119176"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5C063209"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1104" w:type="dxa"/>
            <w:noWrap/>
            <w:hideMark/>
          </w:tcPr>
          <w:p w14:paraId="74BA58C3"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3.4%</w:t>
            </w:r>
          </w:p>
        </w:tc>
      </w:tr>
      <w:tr w:rsidR="001F2AFF" w:rsidRPr="00B07050" w14:paraId="1BB6EA2D" w14:textId="77777777" w:rsidTr="001F2AFF">
        <w:trPr>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1AD55634"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Chester</w:t>
            </w:r>
          </w:p>
        </w:tc>
        <w:tc>
          <w:tcPr>
            <w:tcW w:w="900" w:type="dxa"/>
            <w:noWrap/>
            <w:hideMark/>
          </w:tcPr>
          <w:p w14:paraId="0558C164"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2,804</w:t>
            </w:r>
          </w:p>
        </w:tc>
        <w:tc>
          <w:tcPr>
            <w:tcW w:w="810" w:type="dxa"/>
            <w:noWrap/>
            <w:hideMark/>
          </w:tcPr>
          <w:p w14:paraId="38FFCB28"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w:t>
            </w:r>
          </w:p>
        </w:tc>
        <w:tc>
          <w:tcPr>
            <w:tcW w:w="810" w:type="dxa"/>
            <w:noWrap/>
            <w:hideMark/>
          </w:tcPr>
          <w:p w14:paraId="48218F5A"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w:t>
            </w:r>
          </w:p>
        </w:tc>
        <w:tc>
          <w:tcPr>
            <w:tcW w:w="990" w:type="dxa"/>
            <w:noWrap/>
            <w:hideMark/>
          </w:tcPr>
          <w:p w14:paraId="4A855705"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86</w:t>
            </w:r>
          </w:p>
        </w:tc>
        <w:tc>
          <w:tcPr>
            <w:tcW w:w="900" w:type="dxa"/>
            <w:noWrap/>
            <w:hideMark/>
          </w:tcPr>
          <w:p w14:paraId="78684729"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48</w:t>
            </w:r>
          </w:p>
        </w:tc>
        <w:tc>
          <w:tcPr>
            <w:tcW w:w="810" w:type="dxa"/>
            <w:noWrap/>
            <w:hideMark/>
          </w:tcPr>
          <w:p w14:paraId="537EE2C2"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45CE17D9"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0E75C4D7"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570D19E3"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1104" w:type="dxa"/>
            <w:noWrap/>
            <w:hideMark/>
          </w:tcPr>
          <w:p w14:paraId="2CA6F2A2"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2.1%</w:t>
            </w:r>
          </w:p>
        </w:tc>
      </w:tr>
      <w:tr w:rsidR="001F2AFF" w:rsidRPr="00B07050" w14:paraId="1241DB6C" w14:textId="77777777" w:rsidTr="001F2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53427219"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Ludlow</w:t>
            </w:r>
          </w:p>
        </w:tc>
        <w:tc>
          <w:tcPr>
            <w:tcW w:w="900" w:type="dxa"/>
            <w:noWrap/>
            <w:hideMark/>
          </w:tcPr>
          <w:p w14:paraId="37201A4D"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1,892</w:t>
            </w:r>
          </w:p>
        </w:tc>
        <w:tc>
          <w:tcPr>
            <w:tcW w:w="810" w:type="dxa"/>
            <w:noWrap/>
            <w:hideMark/>
          </w:tcPr>
          <w:p w14:paraId="659DC10E"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7004220E"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699B6978"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30</w:t>
            </w:r>
          </w:p>
        </w:tc>
        <w:tc>
          <w:tcPr>
            <w:tcW w:w="900" w:type="dxa"/>
            <w:noWrap/>
            <w:hideMark/>
          </w:tcPr>
          <w:p w14:paraId="0A2A2080"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28</w:t>
            </w:r>
          </w:p>
        </w:tc>
        <w:tc>
          <w:tcPr>
            <w:tcW w:w="810" w:type="dxa"/>
            <w:noWrap/>
            <w:hideMark/>
          </w:tcPr>
          <w:p w14:paraId="0D2D844D"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2639417C"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7D91FEC5"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w:t>
            </w:r>
          </w:p>
        </w:tc>
        <w:tc>
          <w:tcPr>
            <w:tcW w:w="810" w:type="dxa"/>
            <w:noWrap/>
            <w:hideMark/>
          </w:tcPr>
          <w:p w14:paraId="64E7CBC4"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w:t>
            </w:r>
          </w:p>
        </w:tc>
        <w:tc>
          <w:tcPr>
            <w:tcW w:w="1104" w:type="dxa"/>
            <w:noWrap/>
            <w:hideMark/>
          </w:tcPr>
          <w:p w14:paraId="2B811651"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1.7%</w:t>
            </w:r>
          </w:p>
        </w:tc>
      </w:tr>
      <w:tr w:rsidR="001F2AFF" w:rsidRPr="00B07050" w14:paraId="41F992A0" w14:textId="77777777" w:rsidTr="001F2AFF">
        <w:trPr>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038B8858"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Reading</w:t>
            </w:r>
          </w:p>
        </w:tc>
        <w:tc>
          <w:tcPr>
            <w:tcW w:w="900" w:type="dxa"/>
            <w:noWrap/>
            <w:hideMark/>
          </w:tcPr>
          <w:p w14:paraId="1AFA3DBC"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591</w:t>
            </w:r>
          </w:p>
        </w:tc>
        <w:tc>
          <w:tcPr>
            <w:tcW w:w="810" w:type="dxa"/>
            <w:noWrap/>
            <w:hideMark/>
          </w:tcPr>
          <w:p w14:paraId="0D1F1DC2"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7DC54163"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136A6FB9"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24</w:t>
            </w:r>
          </w:p>
        </w:tc>
        <w:tc>
          <w:tcPr>
            <w:tcW w:w="900" w:type="dxa"/>
            <w:noWrap/>
            <w:hideMark/>
          </w:tcPr>
          <w:p w14:paraId="754CD050"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15</w:t>
            </w:r>
          </w:p>
        </w:tc>
        <w:tc>
          <w:tcPr>
            <w:tcW w:w="810" w:type="dxa"/>
            <w:noWrap/>
            <w:hideMark/>
          </w:tcPr>
          <w:p w14:paraId="1EE0918A"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283C1401"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23D83F09"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39F6F97D"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1104" w:type="dxa"/>
            <w:noWrap/>
            <w:hideMark/>
          </w:tcPr>
          <w:p w14:paraId="52CDF33F"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2.4%</w:t>
            </w:r>
          </w:p>
        </w:tc>
      </w:tr>
      <w:tr w:rsidR="001F2AFF" w:rsidRPr="00B07050" w14:paraId="702A76DB" w14:textId="77777777" w:rsidTr="001F2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1E7ADCB1"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Springfield</w:t>
            </w:r>
          </w:p>
        </w:tc>
        <w:tc>
          <w:tcPr>
            <w:tcW w:w="900" w:type="dxa"/>
            <w:noWrap/>
            <w:hideMark/>
          </w:tcPr>
          <w:p w14:paraId="6A714099"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8,618</w:t>
            </w:r>
          </w:p>
        </w:tc>
        <w:tc>
          <w:tcPr>
            <w:tcW w:w="810" w:type="dxa"/>
            <w:noWrap/>
            <w:hideMark/>
          </w:tcPr>
          <w:p w14:paraId="15C826AB"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82</w:t>
            </w:r>
          </w:p>
        </w:tc>
        <w:tc>
          <w:tcPr>
            <w:tcW w:w="810" w:type="dxa"/>
            <w:noWrap/>
            <w:hideMark/>
          </w:tcPr>
          <w:p w14:paraId="3A8035FA"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27</w:t>
            </w:r>
          </w:p>
        </w:tc>
        <w:tc>
          <w:tcPr>
            <w:tcW w:w="990" w:type="dxa"/>
            <w:noWrap/>
            <w:hideMark/>
          </w:tcPr>
          <w:p w14:paraId="63A39913"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95</w:t>
            </w:r>
          </w:p>
        </w:tc>
        <w:tc>
          <w:tcPr>
            <w:tcW w:w="900" w:type="dxa"/>
            <w:noWrap/>
            <w:hideMark/>
          </w:tcPr>
          <w:p w14:paraId="16346544"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76</w:t>
            </w:r>
          </w:p>
        </w:tc>
        <w:tc>
          <w:tcPr>
            <w:tcW w:w="810" w:type="dxa"/>
            <w:noWrap/>
            <w:hideMark/>
          </w:tcPr>
          <w:p w14:paraId="731DA2BD"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49</w:t>
            </w:r>
          </w:p>
        </w:tc>
        <w:tc>
          <w:tcPr>
            <w:tcW w:w="990" w:type="dxa"/>
            <w:noWrap/>
            <w:hideMark/>
          </w:tcPr>
          <w:p w14:paraId="52F91FF9"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8</w:t>
            </w:r>
          </w:p>
        </w:tc>
        <w:tc>
          <w:tcPr>
            <w:tcW w:w="720" w:type="dxa"/>
            <w:noWrap/>
            <w:hideMark/>
          </w:tcPr>
          <w:p w14:paraId="3A4C8247"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22</w:t>
            </w:r>
          </w:p>
        </w:tc>
        <w:tc>
          <w:tcPr>
            <w:tcW w:w="810" w:type="dxa"/>
            <w:noWrap/>
            <w:hideMark/>
          </w:tcPr>
          <w:p w14:paraId="242EAA12"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22</w:t>
            </w:r>
          </w:p>
        </w:tc>
        <w:tc>
          <w:tcPr>
            <w:tcW w:w="1104" w:type="dxa"/>
            <w:noWrap/>
            <w:hideMark/>
          </w:tcPr>
          <w:p w14:paraId="2D3F4AEF"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1.5%</w:t>
            </w:r>
          </w:p>
        </w:tc>
      </w:tr>
      <w:tr w:rsidR="001F2AFF" w:rsidRPr="00B07050" w14:paraId="72AA1A0A" w14:textId="77777777" w:rsidTr="001F2AFF">
        <w:trPr>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281EAD11"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Weathersfield</w:t>
            </w:r>
          </w:p>
        </w:tc>
        <w:tc>
          <w:tcPr>
            <w:tcW w:w="900" w:type="dxa"/>
            <w:noWrap/>
            <w:hideMark/>
          </w:tcPr>
          <w:p w14:paraId="3BE2223E"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2,721</w:t>
            </w:r>
          </w:p>
        </w:tc>
        <w:tc>
          <w:tcPr>
            <w:tcW w:w="810" w:type="dxa"/>
            <w:noWrap/>
            <w:hideMark/>
          </w:tcPr>
          <w:p w14:paraId="6D487FC9"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28</w:t>
            </w:r>
          </w:p>
        </w:tc>
        <w:tc>
          <w:tcPr>
            <w:tcW w:w="810" w:type="dxa"/>
            <w:noWrap/>
            <w:hideMark/>
          </w:tcPr>
          <w:p w14:paraId="115B2501"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24</w:t>
            </w:r>
          </w:p>
        </w:tc>
        <w:tc>
          <w:tcPr>
            <w:tcW w:w="990" w:type="dxa"/>
            <w:noWrap/>
            <w:hideMark/>
          </w:tcPr>
          <w:p w14:paraId="70A748E3"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10</w:t>
            </w:r>
          </w:p>
        </w:tc>
        <w:tc>
          <w:tcPr>
            <w:tcW w:w="900" w:type="dxa"/>
            <w:noWrap/>
            <w:hideMark/>
          </w:tcPr>
          <w:p w14:paraId="5CA42F23"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10</w:t>
            </w:r>
          </w:p>
        </w:tc>
        <w:tc>
          <w:tcPr>
            <w:tcW w:w="810" w:type="dxa"/>
            <w:noWrap/>
            <w:hideMark/>
          </w:tcPr>
          <w:p w14:paraId="21B14987"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295E8487"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2A0F09A2"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1DF1567C"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1104" w:type="dxa"/>
            <w:noWrap/>
            <w:hideMark/>
          </w:tcPr>
          <w:p w14:paraId="4E8F833A"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w:t>
            </w:r>
          </w:p>
        </w:tc>
      </w:tr>
      <w:tr w:rsidR="001F2AFF" w:rsidRPr="00B07050" w14:paraId="4187A8A1" w14:textId="77777777" w:rsidTr="001F2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02B5E6E6"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West Windsor</w:t>
            </w:r>
          </w:p>
        </w:tc>
        <w:tc>
          <w:tcPr>
            <w:tcW w:w="900" w:type="dxa"/>
            <w:noWrap/>
            <w:hideMark/>
          </w:tcPr>
          <w:p w14:paraId="1767C360"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991</w:t>
            </w:r>
          </w:p>
        </w:tc>
        <w:tc>
          <w:tcPr>
            <w:tcW w:w="810" w:type="dxa"/>
            <w:noWrap/>
            <w:hideMark/>
          </w:tcPr>
          <w:p w14:paraId="02BEE7BD"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70CCE811"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7FEFCD09"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23</w:t>
            </w:r>
          </w:p>
        </w:tc>
        <w:tc>
          <w:tcPr>
            <w:tcW w:w="900" w:type="dxa"/>
            <w:noWrap/>
            <w:hideMark/>
          </w:tcPr>
          <w:p w14:paraId="2D99C297"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17</w:t>
            </w:r>
          </w:p>
        </w:tc>
        <w:tc>
          <w:tcPr>
            <w:tcW w:w="810" w:type="dxa"/>
            <w:noWrap/>
            <w:hideMark/>
          </w:tcPr>
          <w:p w14:paraId="7ECAD91E"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46F851EE"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3F6BDF05"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28578834"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1104" w:type="dxa"/>
            <w:noWrap/>
            <w:hideMark/>
          </w:tcPr>
          <w:p w14:paraId="4110EE02"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1.7%</w:t>
            </w:r>
          </w:p>
        </w:tc>
      </w:tr>
      <w:tr w:rsidR="001F2AFF" w:rsidRPr="00B07050" w14:paraId="44343A91" w14:textId="77777777" w:rsidTr="001F2AFF">
        <w:trPr>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0C5D0388"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Windsor</w:t>
            </w:r>
          </w:p>
        </w:tc>
        <w:tc>
          <w:tcPr>
            <w:tcW w:w="900" w:type="dxa"/>
            <w:noWrap/>
            <w:hideMark/>
          </w:tcPr>
          <w:p w14:paraId="675D201E"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3,245</w:t>
            </w:r>
          </w:p>
        </w:tc>
        <w:tc>
          <w:tcPr>
            <w:tcW w:w="810" w:type="dxa"/>
            <w:noWrap/>
            <w:hideMark/>
          </w:tcPr>
          <w:p w14:paraId="7AA60313"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78</w:t>
            </w:r>
          </w:p>
        </w:tc>
        <w:tc>
          <w:tcPr>
            <w:tcW w:w="810" w:type="dxa"/>
            <w:noWrap/>
            <w:hideMark/>
          </w:tcPr>
          <w:p w14:paraId="4DD0EA7C"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33</w:t>
            </w:r>
          </w:p>
        </w:tc>
        <w:tc>
          <w:tcPr>
            <w:tcW w:w="990" w:type="dxa"/>
            <w:noWrap/>
            <w:hideMark/>
          </w:tcPr>
          <w:p w14:paraId="62C0772E"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46</w:t>
            </w:r>
          </w:p>
        </w:tc>
        <w:tc>
          <w:tcPr>
            <w:tcW w:w="900" w:type="dxa"/>
            <w:noWrap/>
            <w:hideMark/>
          </w:tcPr>
          <w:p w14:paraId="0CA8FB47"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43</w:t>
            </w:r>
          </w:p>
        </w:tc>
        <w:tc>
          <w:tcPr>
            <w:tcW w:w="810" w:type="dxa"/>
            <w:noWrap/>
            <w:hideMark/>
          </w:tcPr>
          <w:p w14:paraId="49BC84EB"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6</w:t>
            </w:r>
          </w:p>
        </w:tc>
        <w:tc>
          <w:tcPr>
            <w:tcW w:w="990" w:type="dxa"/>
            <w:noWrap/>
            <w:hideMark/>
          </w:tcPr>
          <w:p w14:paraId="60441911"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w:t>
            </w:r>
          </w:p>
        </w:tc>
        <w:tc>
          <w:tcPr>
            <w:tcW w:w="720" w:type="dxa"/>
            <w:noWrap/>
            <w:hideMark/>
          </w:tcPr>
          <w:p w14:paraId="2F827805"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3B431F4C"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1104" w:type="dxa"/>
            <w:noWrap/>
            <w:hideMark/>
          </w:tcPr>
          <w:p w14:paraId="19148B64"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2.5%</w:t>
            </w:r>
          </w:p>
        </w:tc>
      </w:tr>
      <w:tr w:rsidR="001F2AFF" w:rsidRPr="00B07050" w14:paraId="3D6F3400" w14:textId="77777777" w:rsidTr="001F2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22B7B235"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MARC region</w:t>
            </w:r>
          </w:p>
        </w:tc>
        <w:tc>
          <w:tcPr>
            <w:tcW w:w="900" w:type="dxa"/>
            <w:noWrap/>
            <w:hideMark/>
          </w:tcPr>
          <w:p w14:paraId="7C3C5372"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22,975</w:t>
            </w:r>
          </w:p>
        </w:tc>
        <w:tc>
          <w:tcPr>
            <w:tcW w:w="810" w:type="dxa"/>
            <w:noWrap/>
            <w:hideMark/>
          </w:tcPr>
          <w:p w14:paraId="315A4576"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1274</w:t>
            </w:r>
          </w:p>
        </w:tc>
        <w:tc>
          <w:tcPr>
            <w:tcW w:w="810" w:type="dxa"/>
            <w:noWrap/>
            <w:hideMark/>
          </w:tcPr>
          <w:p w14:paraId="6F277BE2"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120</w:t>
            </w:r>
          </w:p>
        </w:tc>
        <w:tc>
          <w:tcPr>
            <w:tcW w:w="990" w:type="dxa"/>
            <w:noWrap/>
            <w:hideMark/>
          </w:tcPr>
          <w:p w14:paraId="58C879E5"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356</w:t>
            </w:r>
          </w:p>
        </w:tc>
        <w:tc>
          <w:tcPr>
            <w:tcW w:w="900" w:type="dxa"/>
            <w:noWrap/>
            <w:hideMark/>
          </w:tcPr>
          <w:p w14:paraId="1DF93C81"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270</w:t>
            </w:r>
          </w:p>
        </w:tc>
        <w:tc>
          <w:tcPr>
            <w:tcW w:w="810" w:type="dxa"/>
            <w:noWrap/>
            <w:hideMark/>
          </w:tcPr>
          <w:p w14:paraId="7D92F36E"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55</w:t>
            </w:r>
          </w:p>
        </w:tc>
        <w:tc>
          <w:tcPr>
            <w:tcW w:w="990" w:type="dxa"/>
            <w:noWrap/>
            <w:hideMark/>
          </w:tcPr>
          <w:p w14:paraId="0991C99C"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17</w:t>
            </w:r>
          </w:p>
        </w:tc>
        <w:tc>
          <w:tcPr>
            <w:tcW w:w="720" w:type="dxa"/>
            <w:noWrap/>
            <w:hideMark/>
          </w:tcPr>
          <w:p w14:paraId="38F028E2"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26</w:t>
            </w:r>
          </w:p>
        </w:tc>
        <w:tc>
          <w:tcPr>
            <w:tcW w:w="810" w:type="dxa"/>
            <w:noWrap/>
            <w:hideMark/>
          </w:tcPr>
          <w:p w14:paraId="705D3D51"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26</w:t>
            </w:r>
          </w:p>
        </w:tc>
        <w:tc>
          <w:tcPr>
            <w:tcW w:w="1104" w:type="dxa"/>
            <w:noWrap/>
            <w:hideMark/>
          </w:tcPr>
          <w:p w14:paraId="440636C0" w14:textId="77777777" w:rsidR="001F2AFF" w:rsidRPr="00B07050" w:rsidRDefault="001F2AFF" w:rsidP="001F2AF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1.8%</w:t>
            </w:r>
          </w:p>
        </w:tc>
      </w:tr>
      <w:tr w:rsidR="001F2AFF" w:rsidRPr="00B07050" w14:paraId="5878F281" w14:textId="77777777" w:rsidTr="001F2AFF">
        <w:trPr>
          <w:trHeight w:val="20"/>
        </w:trPr>
        <w:tc>
          <w:tcPr>
            <w:cnfStyle w:val="001000000000" w:firstRow="0" w:lastRow="0" w:firstColumn="1" w:lastColumn="0" w:oddVBand="0" w:evenVBand="0" w:oddHBand="0" w:evenHBand="0" w:firstRowFirstColumn="0" w:firstRowLastColumn="0" w:lastRowFirstColumn="0" w:lastRowLastColumn="0"/>
            <w:tcW w:w="1165" w:type="dxa"/>
            <w:hideMark/>
          </w:tcPr>
          <w:p w14:paraId="6E2AAC14" w14:textId="77777777" w:rsidR="001F2AFF" w:rsidRPr="00B07050" w:rsidRDefault="001F2AFF" w:rsidP="001F2AFF">
            <w:pPr>
              <w:spacing w:after="0"/>
              <w:jc w:val="both"/>
              <w:rPr>
                <w:rFonts w:asciiTheme="minorHAnsi" w:hAnsiTheme="minorHAnsi" w:cstheme="minorHAnsi"/>
                <w:sz w:val="16"/>
                <w:szCs w:val="16"/>
              </w:rPr>
            </w:pPr>
            <w:r w:rsidRPr="00B07050">
              <w:rPr>
                <w:rFonts w:asciiTheme="minorHAnsi" w:hAnsiTheme="minorHAnsi" w:cstheme="minorHAnsi"/>
                <w:sz w:val="16"/>
                <w:szCs w:val="16"/>
              </w:rPr>
              <w:t>Vermont</w:t>
            </w:r>
          </w:p>
        </w:tc>
        <w:tc>
          <w:tcPr>
            <w:tcW w:w="900" w:type="dxa"/>
            <w:noWrap/>
            <w:hideMark/>
          </w:tcPr>
          <w:p w14:paraId="7618716D"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582,351</w:t>
            </w:r>
          </w:p>
        </w:tc>
        <w:tc>
          <w:tcPr>
            <w:tcW w:w="810" w:type="dxa"/>
            <w:noWrap/>
            <w:hideMark/>
          </w:tcPr>
          <w:p w14:paraId="22C44DAC"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7,144</w:t>
            </w:r>
          </w:p>
        </w:tc>
        <w:tc>
          <w:tcPr>
            <w:tcW w:w="810" w:type="dxa"/>
            <w:noWrap/>
            <w:hideMark/>
          </w:tcPr>
          <w:p w14:paraId="5FE488B0"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4,163</w:t>
            </w:r>
          </w:p>
        </w:tc>
        <w:tc>
          <w:tcPr>
            <w:tcW w:w="990" w:type="dxa"/>
            <w:noWrap/>
            <w:hideMark/>
          </w:tcPr>
          <w:p w14:paraId="5D5CB388"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18,563</w:t>
            </w:r>
          </w:p>
        </w:tc>
        <w:tc>
          <w:tcPr>
            <w:tcW w:w="900" w:type="dxa"/>
            <w:noWrap/>
            <w:hideMark/>
          </w:tcPr>
          <w:p w14:paraId="48606250"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11,667</w:t>
            </w:r>
          </w:p>
        </w:tc>
        <w:tc>
          <w:tcPr>
            <w:tcW w:w="810" w:type="dxa"/>
            <w:noWrap/>
            <w:hideMark/>
          </w:tcPr>
          <w:p w14:paraId="34A88535"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5,095</w:t>
            </w:r>
          </w:p>
        </w:tc>
        <w:tc>
          <w:tcPr>
            <w:tcW w:w="990" w:type="dxa"/>
            <w:noWrap/>
            <w:hideMark/>
          </w:tcPr>
          <w:p w14:paraId="400B1C8B"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2,489</w:t>
            </w:r>
          </w:p>
        </w:tc>
        <w:tc>
          <w:tcPr>
            <w:tcW w:w="720" w:type="dxa"/>
            <w:noWrap/>
            <w:hideMark/>
          </w:tcPr>
          <w:p w14:paraId="0552D59E"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2,388</w:t>
            </w:r>
          </w:p>
        </w:tc>
        <w:tc>
          <w:tcPr>
            <w:tcW w:w="810" w:type="dxa"/>
            <w:noWrap/>
            <w:hideMark/>
          </w:tcPr>
          <w:p w14:paraId="55D9CF10" w14:textId="77777777" w:rsidR="001F2AFF" w:rsidRPr="00B07050" w:rsidRDefault="001F2AFF" w:rsidP="001F2AF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1245</w:t>
            </w:r>
          </w:p>
        </w:tc>
        <w:tc>
          <w:tcPr>
            <w:tcW w:w="1104" w:type="dxa"/>
            <w:noWrap/>
            <w:hideMark/>
          </w:tcPr>
          <w:p w14:paraId="1FE9694A" w14:textId="77777777" w:rsidR="001F2AFF" w:rsidRPr="00B07050" w:rsidRDefault="001F2AFF" w:rsidP="001F2AFF">
            <w:pPr>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3.2%</w:t>
            </w:r>
          </w:p>
        </w:tc>
      </w:tr>
    </w:tbl>
    <w:p w14:paraId="7BC088FF" w14:textId="6C8FA421" w:rsidR="001F2AFF" w:rsidRPr="00642519" w:rsidRDefault="00642519" w:rsidP="000A31FC">
      <w:pPr>
        <w:spacing w:after="120"/>
        <w:ind w:left="360"/>
        <w:jc w:val="both"/>
        <w:rPr>
          <w:rFonts w:asciiTheme="minorHAnsi" w:hAnsiTheme="minorHAnsi" w:cstheme="minorHAnsi"/>
          <w:i/>
          <w:iCs/>
          <w:sz w:val="16"/>
          <w:szCs w:val="16"/>
        </w:rPr>
      </w:pPr>
      <w:r w:rsidRPr="00642519">
        <w:rPr>
          <w:rFonts w:asciiTheme="minorHAnsi" w:hAnsiTheme="minorHAnsi" w:cstheme="minorHAnsi"/>
          <w:i/>
          <w:iCs/>
          <w:sz w:val="16"/>
          <w:szCs w:val="16"/>
        </w:rPr>
        <w:t>Source: ACS 2022 5-Year Estimates</w:t>
      </w:r>
    </w:p>
    <w:p w14:paraId="457EFD3E" w14:textId="77777777" w:rsidR="00565D11" w:rsidRPr="00680C2B" w:rsidRDefault="00565D11" w:rsidP="00565D11">
      <w:pPr>
        <w:pStyle w:val="ListParagraph"/>
        <w:spacing w:after="120"/>
        <w:jc w:val="both"/>
        <w:rPr>
          <w:rFonts w:asciiTheme="minorHAnsi" w:hAnsiTheme="minorHAnsi" w:cstheme="minorHAnsi"/>
          <w:b/>
          <w:bCs/>
        </w:rPr>
      </w:pPr>
    </w:p>
    <w:p w14:paraId="76ED1730" w14:textId="47E81A35" w:rsidR="00680C2B" w:rsidRPr="009A6479" w:rsidRDefault="00680C2B" w:rsidP="00680C2B">
      <w:pPr>
        <w:pStyle w:val="ListParagraph"/>
        <w:numPr>
          <w:ilvl w:val="0"/>
          <w:numId w:val="9"/>
        </w:numPr>
        <w:rPr>
          <w:b/>
          <w:bCs/>
        </w:rPr>
      </w:pPr>
      <w:r w:rsidRPr="00680C2B">
        <w:rPr>
          <w:rFonts w:asciiTheme="minorHAnsi" w:hAnsiTheme="minorHAnsi" w:cstheme="minorHAnsi"/>
          <w:b/>
          <w:bCs/>
        </w:rPr>
        <w:t>Annual Work Plan</w:t>
      </w:r>
    </w:p>
    <w:p w14:paraId="48A1E87C" w14:textId="77777777" w:rsidR="009A6479" w:rsidRDefault="009A6479" w:rsidP="009A6479">
      <w:pPr>
        <w:ind w:left="360"/>
      </w:pPr>
      <w:r w:rsidRPr="009A6479">
        <w:t>The MARC’s Executive Director and Title VI Coordinator will monitor and review all Title VI activities. Over the next year, these activities will include:</w:t>
      </w:r>
    </w:p>
    <w:p w14:paraId="243EB0BB" w14:textId="77777777" w:rsidR="009A6479" w:rsidRDefault="009A6479" w:rsidP="009A6479">
      <w:pPr>
        <w:pStyle w:val="ListParagraph"/>
        <w:numPr>
          <w:ilvl w:val="0"/>
          <w:numId w:val="11"/>
        </w:numPr>
      </w:pPr>
      <w:r w:rsidRPr="009A6479">
        <w:t>Provide Title VI training for all staff.</w:t>
      </w:r>
    </w:p>
    <w:p w14:paraId="54433C16" w14:textId="6B407E6B" w:rsidR="009A6479" w:rsidRDefault="009A6479" w:rsidP="009A6479">
      <w:pPr>
        <w:pStyle w:val="ListParagraph"/>
        <w:numPr>
          <w:ilvl w:val="0"/>
          <w:numId w:val="11"/>
        </w:numPr>
      </w:pPr>
      <w:r w:rsidRPr="009A6479">
        <w:t>Monitor and evaluate the effectiveness of the Title VI Plan annually.</w:t>
      </w:r>
    </w:p>
    <w:p w14:paraId="12D363D1" w14:textId="77777777" w:rsidR="009A6479" w:rsidRPr="009A6479" w:rsidRDefault="009A6479" w:rsidP="009A6479">
      <w:pPr>
        <w:pStyle w:val="ListParagraph"/>
        <w:ind w:left="1080"/>
      </w:pPr>
    </w:p>
    <w:p w14:paraId="5E641C04" w14:textId="4193B625" w:rsidR="00680C2B" w:rsidRPr="009A6479" w:rsidRDefault="00680C2B" w:rsidP="00680C2B">
      <w:pPr>
        <w:pStyle w:val="ListParagraph"/>
        <w:numPr>
          <w:ilvl w:val="0"/>
          <w:numId w:val="9"/>
        </w:numPr>
        <w:rPr>
          <w:b/>
          <w:bCs/>
        </w:rPr>
      </w:pPr>
      <w:r w:rsidRPr="00680C2B">
        <w:rPr>
          <w:rFonts w:asciiTheme="minorHAnsi" w:hAnsiTheme="minorHAnsi" w:cstheme="minorHAnsi"/>
          <w:b/>
          <w:bCs/>
        </w:rPr>
        <w:t>Required Title VI Contract Provisions</w:t>
      </w:r>
    </w:p>
    <w:p w14:paraId="01D875BF" w14:textId="1274247F" w:rsidR="009A6479" w:rsidRPr="000719C3" w:rsidRDefault="009A6479" w:rsidP="000719C3">
      <w:pPr>
        <w:ind w:left="360"/>
      </w:pPr>
      <w:r w:rsidRPr="009A6479">
        <w:t>Procedures to ensure Title VI provisions are included in all Federally-funded contracts regardless of tier (Appendices A and E of USDOT Order 1050.2). Non-discrimination is required in the selection and retention of all subcontractors, as well as with the procurement of materials and leases of equipment. Notification of Title VI/non-discrimination obligations will be provided to each potential subcontractor or supplier in all applicable Requests for Proposal, Requests for Qualifications and/or contracts. There will be no discrimination in the MARC’s employment practices in accordance with Personnel Policies.</w:t>
      </w:r>
    </w:p>
    <w:p w14:paraId="19925D36" w14:textId="1F0E8FAD" w:rsidR="00680C2B" w:rsidRPr="000719C3" w:rsidRDefault="00680C2B" w:rsidP="00680C2B">
      <w:pPr>
        <w:pStyle w:val="ListParagraph"/>
        <w:numPr>
          <w:ilvl w:val="0"/>
          <w:numId w:val="9"/>
        </w:numPr>
        <w:rPr>
          <w:b/>
          <w:bCs/>
        </w:rPr>
      </w:pPr>
      <w:bookmarkStart w:id="9" w:name="_Int_qN2N3WsO"/>
      <w:proofErr w:type="gramStart"/>
      <w:r w:rsidRPr="00680C2B">
        <w:rPr>
          <w:rFonts w:asciiTheme="minorHAnsi" w:hAnsiTheme="minorHAnsi" w:cstheme="minorHAnsi"/>
          <w:b/>
          <w:bCs/>
        </w:rPr>
        <w:t>Providing Assistance to</w:t>
      </w:r>
      <w:bookmarkEnd w:id="9"/>
      <w:proofErr w:type="gramEnd"/>
      <w:r w:rsidRPr="00680C2B">
        <w:rPr>
          <w:rFonts w:asciiTheme="minorHAnsi" w:hAnsiTheme="minorHAnsi" w:cstheme="minorHAnsi"/>
          <w:b/>
          <w:bCs/>
        </w:rPr>
        <w:t xml:space="preserve"> Subrecipients</w:t>
      </w:r>
    </w:p>
    <w:p w14:paraId="3738ADE4" w14:textId="77777777" w:rsidR="000719C3" w:rsidRPr="000719C3" w:rsidRDefault="000719C3" w:rsidP="000719C3">
      <w:pPr>
        <w:ind w:left="360"/>
      </w:pPr>
      <w:r w:rsidRPr="000719C3">
        <w:t>The MARC is often a subrecipient of Federal assistance, with VTRANS generally serving as the primary recipient and passing through FHWA SPR funding.</w:t>
      </w:r>
    </w:p>
    <w:p w14:paraId="375D5645" w14:textId="1473D461" w:rsidR="000719C3" w:rsidRPr="000719C3" w:rsidRDefault="000719C3" w:rsidP="000719C3">
      <w:pPr>
        <w:ind w:left="360"/>
      </w:pPr>
      <w:r w:rsidRPr="000719C3">
        <w:lastRenderedPageBreak/>
        <w:t xml:space="preserve">The MARC does not have subrecipients per se. The MARC does </w:t>
      </w:r>
      <w:proofErr w:type="gramStart"/>
      <w:r w:rsidRPr="000719C3">
        <w:t>enter into</w:t>
      </w:r>
      <w:proofErr w:type="gramEnd"/>
      <w:r w:rsidRPr="000719C3">
        <w:t xml:space="preserve"> contracts with municipalities and private consulting firms involving Federal funding. In all cases these contracts incorporate standard Certifications and Assurances related to Title VI Civil Rights responsibilities.</w:t>
      </w:r>
    </w:p>
    <w:p w14:paraId="68159069" w14:textId="1E51ED67" w:rsidR="00680C2B" w:rsidRPr="001727D3" w:rsidRDefault="00680C2B" w:rsidP="00680C2B">
      <w:pPr>
        <w:pStyle w:val="ListParagraph"/>
        <w:numPr>
          <w:ilvl w:val="0"/>
          <w:numId w:val="9"/>
        </w:numPr>
        <w:rPr>
          <w:b/>
          <w:bCs/>
        </w:rPr>
      </w:pPr>
      <w:r w:rsidRPr="00680C2B">
        <w:rPr>
          <w:rFonts w:asciiTheme="minorHAnsi" w:hAnsiTheme="minorHAnsi" w:cstheme="minorHAnsi"/>
          <w:b/>
          <w:bCs/>
        </w:rPr>
        <w:t>Monitoring Subrecipients</w:t>
      </w:r>
    </w:p>
    <w:p w14:paraId="1E570A46" w14:textId="77777777" w:rsidR="001727D3" w:rsidRDefault="001727D3" w:rsidP="001727D3">
      <w:pPr>
        <w:ind w:left="360"/>
      </w:pPr>
      <w:r w:rsidRPr="001727D3">
        <w:t>Should the MARC at some point in the future have formal subrecipients of Federal funding, the MARC recognizes the obligation to ensure those subrecipients adhere to Title VI requirements, and would undertake the following activities to ensure that compliance:</w:t>
      </w:r>
    </w:p>
    <w:p w14:paraId="71FF1ED7" w14:textId="77777777" w:rsidR="001727D3" w:rsidRDefault="001727D3" w:rsidP="001727D3">
      <w:pPr>
        <w:pStyle w:val="ListParagraph"/>
        <w:numPr>
          <w:ilvl w:val="0"/>
          <w:numId w:val="12"/>
        </w:numPr>
      </w:pPr>
      <w:r w:rsidRPr="001727D3">
        <w:t>Document the process for ensuring that all subrecipients are complying with the general reporting requirements of this circular, as well as other requirements that apply to the subrecipient based on the type of entity and the number of fixed route vehicles it operates in peak service, if a transit provider.</w:t>
      </w:r>
    </w:p>
    <w:p w14:paraId="513DD72D" w14:textId="60F6AAB0" w:rsidR="001727D3" w:rsidRDefault="001727D3" w:rsidP="001727D3">
      <w:pPr>
        <w:pStyle w:val="ListParagraph"/>
        <w:numPr>
          <w:ilvl w:val="0"/>
          <w:numId w:val="12"/>
        </w:numPr>
      </w:pPr>
      <w:r w:rsidRPr="001727D3">
        <w:t>Collect Title VI Programs from subrecipients and review programs for compliance.</w:t>
      </w:r>
    </w:p>
    <w:p w14:paraId="6C1CBC19" w14:textId="77777777" w:rsidR="001727D3" w:rsidRPr="001727D3" w:rsidRDefault="001727D3" w:rsidP="001727D3">
      <w:pPr>
        <w:pStyle w:val="ListParagraph"/>
        <w:ind w:left="1080"/>
      </w:pPr>
    </w:p>
    <w:p w14:paraId="5A5399D6" w14:textId="77777777" w:rsidR="00680C2B" w:rsidRDefault="00680C2B" w:rsidP="00680C2B">
      <w:pPr>
        <w:pStyle w:val="ListParagraph"/>
        <w:numPr>
          <w:ilvl w:val="0"/>
          <w:numId w:val="9"/>
        </w:numPr>
        <w:spacing w:after="120"/>
        <w:jc w:val="both"/>
        <w:rPr>
          <w:rFonts w:asciiTheme="minorHAnsi" w:hAnsiTheme="minorHAnsi" w:cstheme="minorHAnsi"/>
          <w:b/>
          <w:bCs/>
        </w:rPr>
      </w:pPr>
      <w:r w:rsidRPr="00680C2B">
        <w:rPr>
          <w:rFonts w:asciiTheme="minorHAnsi" w:hAnsiTheme="minorHAnsi" w:cstheme="minorHAnsi"/>
          <w:b/>
          <w:bCs/>
        </w:rPr>
        <w:t>Opportunity for Disadvantaged Business Enterprises (DBE’s)</w:t>
      </w:r>
    </w:p>
    <w:p w14:paraId="47C379C9" w14:textId="40A3619A" w:rsidR="001727D3" w:rsidRDefault="001727D3" w:rsidP="001727D3">
      <w:pPr>
        <w:spacing w:after="120"/>
        <w:ind w:left="360"/>
        <w:jc w:val="both"/>
        <w:rPr>
          <w:rFonts w:asciiTheme="minorHAnsi" w:hAnsiTheme="minorHAnsi" w:cstheme="minorHAnsi"/>
        </w:rPr>
      </w:pPr>
      <w:r w:rsidRPr="001727D3">
        <w:rPr>
          <w:rFonts w:asciiTheme="minorHAnsi" w:hAnsiTheme="minorHAnsi" w:cstheme="minorHAnsi"/>
        </w:rPr>
        <w:t>It shall be the policy of the MARC to ensure nondiscriminatory opportunity for Disadvantaged Business Enterprises (DBEs), as defined in 49 CFR Part 26, and shall have the maximum opportunity to participate in the performance of contracts financed in whole or in part with Federal funds. Consequently, the DBE requirements of 49 CFR Part 26 and 23 CFR, Chapter 1, Part 230, Subpart b apply to all contracts. Contracts should include the following assurance:</w:t>
      </w:r>
    </w:p>
    <w:p w14:paraId="3F5A7C94" w14:textId="6824765E" w:rsidR="00260073" w:rsidRPr="000A42B2" w:rsidRDefault="001727D3" w:rsidP="000A42B2">
      <w:pPr>
        <w:spacing w:after="120"/>
        <w:ind w:left="720"/>
        <w:jc w:val="both"/>
        <w:rPr>
          <w:rFonts w:asciiTheme="minorHAnsi" w:hAnsiTheme="minorHAnsi" w:cstheme="minorHAnsi"/>
          <w:i/>
          <w:iCs/>
        </w:rPr>
      </w:pPr>
      <w:r w:rsidRPr="001727D3">
        <w:rPr>
          <w:rFonts w:asciiTheme="minorHAnsi" w:hAnsiTheme="minorHAnsi" w:cstheme="minorHAnsi"/>
          <w:i/>
          <w:iCs/>
        </w:rPr>
        <w:t xml:space="preserve">“The contractor, subrecipient or subcontractor shall not discriminate </w:t>
      </w:r>
      <w:proofErr w:type="gramStart"/>
      <w:r w:rsidRPr="001727D3">
        <w:rPr>
          <w:rFonts w:asciiTheme="minorHAnsi" w:hAnsiTheme="minorHAnsi" w:cstheme="minorHAnsi"/>
          <w:i/>
          <w:iCs/>
        </w:rPr>
        <w:t>on the basis of</w:t>
      </w:r>
      <w:proofErr w:type="gramEnd"/>
      <w:r w:rsidRPr="001727D3">
        <w:rPr>
          <w:rFonts w:asciiTheme="minorHAnsi" w:hAnsiTheme="minorHAnsi" w:cstheme="minorHAnsi"/>
          <w:i/>
          <w:iCs/>
        </w:rPr>
        <w:t xml:space="preserve"> race, color, national origin, or sex in the award and performance of this contract. The contractor shall carry out applicable requirements of 49 CFR Part 26 in the award and administration of USDOT-assisted contracts. Failure by the contractor to carry out these requirements is a material breach of this contract, which may result in the termination of this contract or such other remedy, as MARC deems appropriate.”</w:t>
      </w:r>
    </w:p>
    <w:p w14:paraId="1F069374" w14:textId="7E7E95AF" w:rsidR="00680C2B" w:rsidRPr="00260073" w:rsidRDefault="00680C2B" w:rsidP="000A42B2">
      <w:pPr>
        <w:pStyle w:val="ListParagraph"/>
        <w:numPr>
          <w:ilvl w:val="0"/>
          <w:numId w:val="9"/>
        </w:numPr>
        <w:spacing w:before="240"/>
        <w:rPr>
          <w:b/>
          <w:bCs/>
        </w:rPr>
      </w:pPr>
      <w:r w:rsidRPr="00680C2B">
        <w:rPr>
          <w:rFonts w:asciiTheme="minorHAnsi" w:hAnsiTheme="minorHAnsi" w:cstheme="minorHAnsi"/>
          <w:b/>
          <w:bCs/>
        </w:rPr>
        <w:t>Participation by Small Business Enterprises</w:t>
      </w:r>
    </w:p>
    <w:p w14:paraId="10FEB1FD" w14:textId="62A5B06A" w:rsidR="00260073" w:rsidRPr="00260073" w:rsidRDefault="00260073" w:rsidP="00260073">
      <w:pPr>
        <w:ind w:left="360"/>
      </w:pPr>
      <w:r w:rsidRPr="00260073">
        <w:t>It is MARC’s policy to promote small business participation in all contracts and procurement opportunities. The rules set forth in Code of Federal Regulations, Title 13, Sections 121.401 through 121.413, apply to all Federal procurement programs for which status as a small business is required or advantageous.</w:t>
      </w:r>
    </w:p>
    <w:p w14:paraId="5DD2FD55" w14:textId="024D7BAD" w:rsidR="00680C2B" w:rsidRPr="00260073" w:rsidRDefault="00680C2B" w:rsidP="00680C2B">
      <w:pPr>
        <w:pStyle w:val="ListParagraph"/>
        <w:numPr>
          <w:ilvl w:val="0"/>
          <w:numId w:val="9"/>
        </w:numPr>
        <w:rPr>
          <w:b/>
          <w:bCs/>
        </w:rPr>
      </w:pPr>
      <w:r w:rsidRPr="00680C2B">
        <w:rPr>
          <w:rFonts w:asciiTheme="minorHAnsi" w:hAnsiTheme="minorHAnsi" w:cstheme="minorHAnsi"/>
          <w:b/>
          <w:bCs/>
        </w:rPr>
        <w:t>Requirement to Provide Additional Information upon Request</w:t>
      </w:r>
    </w:p>
    <w:p w14:paraId="56E80C6F" w14:textId="15171FB0" w:rsidR="003A50B8" w:rsidRDefault="00260073" w:rsidP="009410CB">
      <w:pPr>
        <w:ind w:left="360"/>
      </w:pPr>
      <w:r w:rsidRPr="00260073">
        <w:t>The MARC will provide information other than that required by Circular 4702.1B to FTA upon request, should it be necessary to investigate complaints of discrimination or to resolve concerns about noncompliance with Title VI.</w:t>
      </w:r>
    </w:p>
    <w:p w14:paraId="3DF54294" w14:textId="5F22CFC1" w:rsidR="00535626" w:rsidRDefault="003A50B8" w:rsidP="00D27166">
      <w:pPr>
        <w:pStyle w:val="Heading1"/>
        <w:numPr>
          <w:ilvl w:val="0"/>
          <w:numId w:val="6"/>
        </w:numPr>
        <w:spacing w:after="240"/>
      </w:pPr>
      <w:bookmarkStart w:id="10" w:name="_Toc164160712"/>
      <w:r>
        <w:lastRenderedPageBreak/>
        <w:t>Appendices</w:t>
      </w:r>
      <w:bookmarkEnd w:id="10"/>
    </w:p>
    <w:p w14:paraId="5F3B7ADF" w14:textId="492636DD" w:rsidR="00535626" w:rsidRDefault="00535626" w:rsidP="00535626">
      <w:pPr>
        <w:pStyle w:val="ListParagraph"/>
        <w:numPr>
          <w:ilvl w:val="0"/>
          <w:numId w:val="13"/>
        </w:numPr>
      </w:pPr>
      <w:r>
        <w:t>Title VI Non-Discrimination Assurances</w:t>
      </w:r>
    </w:p>
    <w:p w14:paraId="3CB25874" w14:textId="4536553A" w:rsidR="00535626" w:rsidRDefault="00535626" w:rsidP="00535626">
      <w:pPr>
        <w:pStyle w:val="ListParagraph"/>
        <w:numPr>
          <w:ilvl w:val="0"/>
          <w:numId w:val="13"/>
        </w:numPr>
      </w:pPr>
      <w:r>
        <w:t>Title VI Non-Discrimination Policy</w:t>
      </w:r>
    </w:p>
    <w:p w14:paraId="0205B10C" w14:textId="3E07F173" w:rsidR="00535626" w:rsidRDefault="00535626" w:rsidP="00535626">
      <w:pPr>
        <w:pStyle w:val="ListParagraph"/>
        <w:numPr>
          <w:ilvl w:val="0"/>
          <w:numId w:val="13"/>
        </w:numPr>
      </w:pPr>
      <w:r>
        <w:t>Title VI Complaint Procedures</w:t>
      </w:r>
    </w:p>
    <w:p w14:paraId="5473D963" w14:textId="596D5C38" w:rsidR="003631AF" w:rsidRDefault="00535626" w:rsidP="003631AF">
      <w:pPr>
        <w:pStyle w:val="ListParagraph"/>
        <w:numPr>
          <w:ilvl w:val="0"/>
          <w:numId w:val="13"/>
        </w:numPr>
      </w:pPr>
      <w:r>
        <w:t>Title VI Discrimination Complaint Form</w:t>
      </w:r>
    </w:p>
    <w:p w14:paraId="33D39BB3" w14:textId="16D130AC" w:rsidR="00552C1A" w:rsidRDefault="00552C1A" w:rsidP="003631AF">
      <w:pPr>
        <w:pStyle w:val="ListParagraph"/>
        <w:numPr>
          <w:ilvl w:val="0"/>
          <w:numId w:val="13"/>
        </w:numPr>
      </w:pPr>
      <w:r>
        <w:t>Title VI Language Access Plan</w:t>
      </w:r>
    </w:p>
    <w:p w14:paraId="5CF22472" w14:textId="77777777" w:rsidR="00552C1A" w:rsidRDefault="00552C1A" w:rsidP="00552C1A"/>
    <w:p w14:paraId="52D5EA97" w14:textId="77777777" w:rsidR="00552C1A" w:rsidRDefault="00552C1A" w:rsidP="00552C1A"/>
    <w:p w14:paraId="35D6D910" w14:textId="77777777" w:rsidR="003631AF" w:rsidRDefault="003631AF" w:rsidP="003631AF"/>
    <w:p w14:paraId="7CD28924" w14:textId="77777777" w:rsidR="003631AF" w:rsidRDefault="003631AF" w:rsidP="003631AF"/>
    <w:p w14:paraId="11DF94A4" w14:textId="77777777" w:rsidR="003631AF" w:rsidRDefault="003631AF" w:rsidP="003631AF">
      <w:pPr>
        <w:rPr>
          <w:i/>
          <w:iCs/>
        </w:rPr>
      </w:pPr>
    </w:p>
    <w:p w14:paraId="3406ABA8" w14:textId="4956012A" w:rsidR="003631AF" w:rsidRPr="003631AF" w:rsidRDefault="003631AF" w:rsidP="003631AF">
      <w:pPr>
        <w:jc w:val="center"/>
        <w:rPr>
          <w:i/>
          <w:iCs/>
        </w:rPr>
      </w:pPr>
    </w:p>
    <w:sectPr w:rsidR="003631AF" w:rsidRPr="003631AF" w:rsidSect="00E95600">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E4B00" w14:textId="77777777" w:rsidR="00E922DA" w:rsidRDefault="00E922DA" w:rsidP="00A94391">
      <w:r>
        <w:separator/>
      </w:r>
    </w:p>
  </w:endnote>
  <w:endnote w:type="continuationSeparator" w:id="0">
    <w:p w14:paraId="74F17D52" w14:textId="77777777" w:rsidR="00E922DA" w:rsidRDefault="00E922DA" w:rsidP="00A94391">
      <w:r>
        <w:continuationSeparator/>
      </w:r>
    </w:p>
  </w:endnote>
  <w:endnote w:type="continuationNotice" w:id="1">
    <w:p w14:paraId="115BF49D" w14:textId="77777777" w:rsidR="00E922DA" w:rsidRDefault="00E92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0185462"/>
      <w:docPartObj>
        <w:docPartGallery w:val="Page Numbers (Bottom of Page)"/>
        <w:docPartUnique/>
      </w:docPartObj>
    </w:sdtPr>
    <w:sdtEndPr>
      <w:rPr>
        <w:noProof/>
        <w:sz w:val="23"/>
        <w:szCs w:val="23"/>
      </w:rPr>
    </w:sdtEndPr>
    <w:sdtContent>
      <w:p w14:paraId="4625305D" w14:textId="4763A942" w:rsidR="000E67B4" w:rsidRPr="00CE2BBA" w:rsidRDefault="000E67B4">
        <w:pPr>
          <w:pStyle w:val="Footer"/>
          <w:jc w:val="center"/>
          <w:rPr>
            <w:sz w:val="23"/>
            <w:szCs w:val="23"/>
          </w:rPr>
        </w:pPr>
        <w:r w:rsidRPr="00CE2BBA">
          <w:rPr>
            <w:sz w:val="23"/>
            <w:szCs w:val="23"/>
          </w:rPr>
          <w:fldChar w:fldCharType="begin"/>
        </w:r>
        <w:r w:rsidRPr="00CE2BBA">
          <w:rPr>
            <w:sz w:val="23"/>
            <w:szCs w:val="23"/>
          </w:rPr>
          <w:instrText xml:space="preserve"> PAGE   \* MERGEFORMAT </w:instrText>
        </w:r>
        <w:r w:rsidRPr="00CE2BBA">
          <w:rPr>
            <w:sz w:val="23"/>
            <w:szCs w:val="23"/>
          </w:rPr>
          <w:fldChar w:fldCharType="separate"/>
        </w:r>
        <w:r w:rsidRPr="00CE2BBA">
          <w:rPr>
            <w:noProof/>
            <w:sz w:val="23"/>
            <w:szCs w:val="23"/>
          </w:rPr>
          <w:t>2</w:t>
        </w:r>
        <w:r w:rsidRPr="00CE2BBA">
          <w:rPr>
            <w:noProof/>
            <w:sz w:val="23"/>
            <w:szCs w:val="23"/>
          </w:rPr>
          <w:fldChar w:fldCharType="end"/>
        </w:r>
      </w:p>
    </w:sdtContent>
  </w:sdt>
  <w:p w14:paraId="18C88106" w14:textId="77777777" w:rsidR="000E67B4" w:rsidRDefault="000E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991ED" w14:textId="1C28074E" w:rsidR="00D44713" w:rsidRDefault="00210EE7">
    <w:pPr>
      <w:pStyle w:val="Footer"/>
      <w:rPr>
        <w:noProof/>
      </w:rPr>
    </w:pPr>
    <w:r>
      <w:rPr>
        <w:noProof/>
      </w:rPr>
      <w:drawing>
        <wp:anchor distT="0" distB="0" distL="114300" distR="114300" simplePos="0" relativeHeight="251658241" behindDoc="1" locked="0" layoutInCell="1" allowOverlap="1" wp14:anchorId="0AA2771F" wp14:editId="05D70557">
          <wp:simplePos x="0" y="0"/>
          <wp:positionH relativeFrom="margin">
            <wp:align>center</wp:align>
          </wp:positionH>
          <wp:positionV relativeFrom="paragraph">
            <wp:posOffset>-185420</wp:posOffset>
          </wp:positionV>
          <wp:extent cx="6318250" cy="1002081"/>
          <wp:effectExtent l="0" t="0" r="6350" b="7620"/>
          <wp:wrapNone/>
          <wp:docPr id="2" name="Picture 2"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l="-162" t="87745" r="162"/>
                  <a:stretch/>
                </pic:blipFill>
                <pic:spPr bwMode="auto">
                  <a:xfrm>
                    <a:off x="0" y="0"/>
                    <a:ext cx="6318250" cy="1002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9CF40" w14:textId="35FF3F31" w:rsidR="00D44713" w:rsidRDefault="00D44713" w:rsidP="00D447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BBCE3" w14:textId="77777777" w:rsidR="00E922DA" w:rsidRDefault="00E922DA" w:rsidP="00A94391">
      <w:r>
        <w:separator/>
      </w:r>
    </w:p>
  </w:footnote>
  <w:footnote w:type="continuationSeparator" w:id="0">
    <w:p w14:paraId="1EC13D7E" w14:textId="77777777" w:rsidR="00E922DA" w:rsidRDefault="00E922DA" w:rsidP="00A94391">
      <w:r>
        <w:continuationSeparator/>
      </w:r>
    </w:p>
  </w:footnote>
  <w:footnote w:type="continuationNotice" w:id="1">
    <w:p w14:paraId="79C85F66" w14:textId="77777777" w:rsidR="00E922DA" w:rsidRDefault="00E92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E9E79" w14:textId="7D7A2049" w:rsidR="00A94391" w:rsidRDefault="000E1CE1">
    <w:pPr>
      <w:pStyle w:val="Header"/>
    </w:pPr>
    <w:r>
      <w:rPr>
        <w:noProof/>
      </w:rPr>
      <w:drawing>
        <wp:anchor distT="0" distB="0" distL="114300" distR="114300" simplePos="0" relativeHeight="251658240" behindDoc="1" locked="0" layoutInCell="1" allowOverlap="1" wp14:anchorId="3ABB3937" wp14:editId="00F70BAC">
          <wp:simplePos x="0" y="0"/>
          <wp:positionH relativeFrom="page">
            <wp:align>left</wp:align>
          </wp:positionH>
          <wp:positionV relativeFrom="paragraph">
            <wp:posOffset>-455930</wp:posOffset>
          </wp:positionV>
          <wp:extent cx="7807325" cy="1238250"/>
          <wp:effectExtent l="0" t="0" r="3175" b="0"/>
          <wp:wrapTight wrapText="bothSides">
            <wp:wrapPolygon edited="0">
              <wp:start x="0" y="0"/>
              <wp:lineTo x="0" y="21268"/>
              <wp:lineTo x="21556" y="21268"/>
              <wp:lineTo x="21556" y="0"/>
              <wp:lineTo x="0" y="0"/>
            </wp:wrapPolygon>
          </wp:wrapTight>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b="87745"/>
                  <a:stretch/>
                </pic:blipFill>
                <pic:spPr bwMode="auto">
                  <a:xfrm>
                    <a:off x="0" y="0"/>
                    <a:ext cx="780732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0F10"/>
    <w:multiLevelType w:val="multilevel"/>
    <w:tmpl w:val="13260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505865"/>
    <w:multiLevelType w:val="hybridMultilevel"/>
    <w:tmpl w:val="13D670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C927AB"/>
    <w:multiLevelType w:val="hybridMultilevel"/>
    <w:tmpl w:val="29E819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73FC7"/>
    <w:multiLevelType w:val="hybridMultilevel"/>
    <w:tmpl w:val="11A4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0B3888"/>
    <w:multiLevelType w:val="hybridMultilevel"/>
    <w:tmpl w:val="0C325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340B9"/>
    <w:multiLevelType w:val="hybridMultilevel"/>
    <w:tmpl w:val="9034B54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4620A7"/>
    <w:multiLevelType w:val="hybridMultilevel"/>
    <w:tmpl w:val="DA603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04784"/>
    <w:multiLevelType w:val="hybridMultilevel"/>
    <w:tmpl w:val="1D0E0F50"/>
    <w:lvl w:ilvl="0" w:tplc="64C20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40B2D"/>
    <w:multiLevelType w:val="hybridMultilevel"/>
    <w:tmpl w:val="CFC44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957596"/>
    <w:multiLevelType w:val="hybridMultilevel"/>
    <w:tmpl w:val="679C5F3E"/>
    <w:lvl w:ilvl="0" w:tplc="0409000B">
      <w:start w:val="1"/>
      <w:numFmt w:val="bullet"/>
      <w:lvlText w:val=""/>
      <w:lvlJc w:val="left"/>
      <w:pPr>
        <w:ind w:left="1620" w:hanging="360"/>
      </w:pPr>
      <w:rPr>
        <w:rFonts w:ascii="Wingdings" w:hAnsi="Wingdings" w:hint="default"/>
      </w:rPr>
    </w:lvl>
    <w:lvl w:ilvl="1" w:tplc="48EC083E">
      <w:start w:val="1970"/>
      <w:numFmt w:val="bullet"/>
      <w:lvlText w:val="•"/>
      <w:lvlJc w:val="left"/>
      <w:pPr>
        <w:ind w:left="2520" w:hanging="540"/>
      </w:pPr>
      <w:rPr>
        <w:rFonts w:ascii="Century Gothic" w:eastAsia="Times New Roman" w:hAnsi="Century Gothic" w:cs="Times New Roman"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EC37B0"/>
    <w:multiLevelType w:val="hybridMultilevel"/>
    <w:tmpl w:val="399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6662F"/>
    <w:multiLevelType w:val="hybridMultilevel"/>
    <w:tmpl w:val="9630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35378"/>
    <w:multiLevelType w:val="multilevel"/>
    <w:tmpl w:val="C2A48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7482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742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60851">
    <w:abstractNumId w:val="11"/>
  </w:num>
  <w:num w:numId="4" w16cid:durableId="160438794">
    <w:abstractNumId w:val="4"/>
  </w:num>
  <w:num w:numId="5" w16cid:durableId="495075728">
    <w:abstractNumId w:val="6"/>
  </w:num>
  <w:num w:numId="6" w16cid:durableId="1894612846">
    <w:abstractNumId w:val="5"/>
  </w:num>
  <w:num w:numId="7" w16cid:durableId="418449794">
    <w:abstractNumId w:val="10"/>
  </w:num>
  <w:num w:numId="8" w16cid:durableId="1445880811">
    <w:abstractNumId w:val="9"/>
  </w:num>
  <w:num w:numId="9" w16cid:durableId="1614508554">
    <w:abstractNumId w:val="7"/>
  </w:num>
  <w:num w:numId="10" w16cid:durableId="221141753">
    <w:abstractNumId w:val="8"/>
  </w:num>
  <w:num w:numId="11" w16cid:durableId="1642805916">
    <w:abstractNumId w:val="3"/>
  </w:num>
  <w:num w:numId="12" w16cid:durableId="1082337372">
    <w:abstractNumId w:val="2"/>
  </w:num>
  <w:num w:numId="13" w16cid:durableId="100809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7C"/>
    <w:rsid w:val="00007D09"/>
    <w:rsid w:val="000172D4"/>
    <w:rsid w:val="00037DA2"/>
    <w:rsid w:val="00047374"/>
    <w:rsid w:val="00052F85"/>
    <w:rsid w:val="000706A0"/>
    <w:rsid w:val="000719C3"/>
    <w:rsid w:val="00096AD1"/>
    <w:rsid w:val="00097CA8"/>
    <w:rsid w:val="000A31FC"/>
    <w:rsid w:val="000A42B2"/>
    <w:rsid w:val="000D4F27"/>
    <w:rsid w:val="000E1CE1"/>
    <w:rsid w:val="000E55B2"/>
    <w:rsid w:val="000E67B4"/>
    <w:rsid w:val="00101155"/>
    <w:rsid w:val="0012307D"/>
    <w:rsid w:val="0015439B"/>
    <w:rsid w:val="00164B1A"/>
    <w:rsid w:val="00167544"/>
    <w:rsid w:val="001727D3"/>
    <w:rsid w:val="00184B15"/>
    <w:rsid w:val="001B1DF0"/>
    <w:rsid w:val="001F2AFF"/>
    <w:rsid w:val="001F7BD4"/>
    <w:rsid w:val="00210EE7"/>
    <w:rsid w:val="00215CA7"/>
    <w:rsid w:val="00217366"/>
    <w:rsid w:val="00220636"/>
    <w:rsid w:val="002227E3"/>
    <w:rsid w:val="0024022C"/>
    <w:rsid w:val="00246E22"/>
    <w:rsid w:val="00250706"/>
    <w:rsid w:val="00260073"/>
    <w:rsid w:val="00267F47"/>
    <w:rsid w:val="00272385"/>
    <w:rsid w:val="00274A90"/>
    <w:rsid w:val="00287D80"/>
    <w:rsid w:val="002905BD"/>
    <w:rsid w:val="002C38DF"/>
    <w:rsid w:val="002E057C"/>
    <w:rsid w:val="002F03F2"/>
    <w:rsid w:val="003009A8"/>
    <w:rsid w:val="00311B20"/>
    <w:rsid w:val="00333B4C"/>
    <w:rsid w:val="0034711C"/>
    <w:rsid w:val="0034782F"/>
    <w:rsid w:val="003557B5"/>
    <w:rsid w:val="003631AF"/>
    <w:rsid w:val="00363A5E"/>
    <w:rsid w:val="00366FBA"/>
    <w:rsid w:val="0036755E"/>
    <w:rsid w:val="00367D6D"/>
    <w:rsid w:val="00373179"/>
    <w:rsid w:val="003800DA"/>
    <w:rsid w:val="003A50B8"/>
    <w:rsid w:val="003B7FE8"/>
    <w:rsid w:val="003C71E9"/>
    <w:rsid w:val="003E0B77"/>
    <w:rsid w:val="003E0C61"/>
    <w:rsid w:val="003E176E"/>
    <w:rsid w:val="003F303C"/>
    <w:rsid w:val="003F63A8"/>
    <w:rsid w:val="0040351E"/>
    <w:rsid w:val="00413213"/>
    <w:rsid w:val="00414753"/>
    <w:rsid w:val="0042494E"/>
    <w:rsid w:val="00441328"/>
    <w:rsid w:val="00473304"/>
    <w:rsid w:val="0047653E"/>
    <w:rsid w:val="00481EFE"/>
    <w:rsid w:val="00485973"/>
    <w:rsid w:val="004C2893"/>
    <w:rsid w:val="004C680C"/>
    <w:rsid w:val="004D1E04"/>
    <w:rsid w:val="0050052E"/>
    <w:rsid w:val="00510ECA"/>
    <w:rsid w:val="00512810"/>
    <w:rsid w:val="00513460"/>
    <w:rsid w:val="0051717B"/>
    <w:rsid w:val="00523B12"/>
    <w:rsid w:val="005326C1"/>
    <w:rsid w:val="00535626"/>
    <w:rsid w:val="00543543"/>
    <w:rsid w:val="00552C1A"/>
    <w:rsid w:val="00565D11"/>
    <w:rsid w:val="00575FE4"/>
    <w:rsid w:val="00590F95"/>
    <w:rsid w:val="00595A35"/>
    <w:rsid w:val="005A5475"/>
    <w:rsid w:val="005E4A88"/>
    <w:rsid w:val="005F4C53"/>
    <w:rsid w:val="005F6455"/>
    <w:rsid w:val="006101E2"/>
    <w:rsid w:val="00611CEF"/>
    <w:rsid w:val="00642519"/>
    <w:rsid w:val="0067357A"/>
    <w:rsid w:val="00680C2B"/>
    <w:rsid w:val="006B4F04"/>
    <w:rsid w:val="006C11D7"/>
    <w:rsid w:val="006C55E4"/>
    <w:rsid w:val="006C62AA"/>
    <w:rsid w:val="006C7056"/>
    <w:rsid w:val="007434DF"/>
    <w:rsid w:val="00744885"/>
    <w:rsid w:val="007554D9"/>
    <w:rsid w:val="00776E14"/>
    <w:rsid w:val="00781353"/>
    <w:rsid w:val="007836E1"/>
    <w:rsid w:val="00792BC5"/>
    <w:rsid w:val="007A769F"/>
    <w:rsid w:val="007C2D0E"/>
    <w:rsid w:val="00817051"/>
    <w:rsid w:val="008307A8"/>
    <w:rsid w:val="00835263"/>
    <w:rsid w:val="008415BC"/>
    <w:rsid w:val="008471AC"/>
    <w:rsid w:val="00862893"/>
    <w:rsid w:val="0087291A"/>
    <w:rsid w:val="0088020A"/>
    <w:rsid w:val="008824B8"/>
    <w:rsid w:val="008A2FBA"/>
    <w:rsid w:val="008B0573"/>
    <w:rsid w:val="008E073F"/>
    <w:rsid w:val="008E7886"/>
    <w:rsid w:val="008F1D5B"/>
    <w:rsid w:val="008F6C1A"/>
    <w:rsid w:val="0090104F"/>
    <w:rsid w:val="0090325A"/>
    <w:rsid w:val="00920D3A"/>
    <w:rsid w:val="00924E11"/>
    <w:rsid w:val="00927447"/>
    <w:rsid w:val="009410CB"/>
    <w:rsid w:val="009434B7"/>
    <w:rsid w:val="0095766E"/>
    <w:rsid w:val="00983942"/>
    <w:rsid w:val="00993ABE"/>
    <w:rsid w:val="00997938"/>
    <w:rsid w:val="009A6479"/>
    <w:rsid w:val="009C61A1"/>
    <w:rsid w:val="009D337C"/>
    <w:rsid w:val="009E0554"/>
    <w:rsid w:val="00A32014"/>
    <w:rsid w:val="00A4139E"/>
    <w:rsid w:val="00A465DE"/>
    <w:rsid w:val="00A54CF1"/>
    <w:rsid w:val="00A929F7"/>
    <w:rsid w:val="00A94391"/>
    <w:rsid w:val="00AB42BE"/>
    <w:rsid w:val="00AC00EB"/>
    <w:rsid w:val="00AC46B1"/>
    <w:rsid w:val="00AD0359"/>
    <w:rsid w:val="00AF34C0"/>
    <w:rsid w:val="00B42ABA"/>
    <w:rsid w:val="00B44BB7"/>
    <w:rsid w:val="00B63A12"/>
    <w:rsid w:val="00B67659"/>
    <w:rsid w:val="00B8385F"/>
    <w:rsid w:val="00B963F0"/>
    <w:rsid w:val="00BA66AC"/>
    <w:rsid w:val="00BB3247"/>
    <w:rsid w:val="00BF0958"/>
    <w:rsid w:val="00C0735D"/>
    <w:rsid w:val="00C14FF5"/>
    <w:rsid w:val="00C17AB4"/>
    <w:rsid w:val="00C277EA"/>
    <w:rsid w:val="00C30594"/>
    <w:rsid w:val="00C5234B"/>
    <w:rsid w:val="00C62B65"/>
    <w:rsid w:val="00C661E2"/>
    <w:rsid w:val="00C83570"/>
    <w:rsid w:val="00CA2E1B"/>
    <w:rsid w:val="00CB050A"/>
    <w:rsid w:val="00CB70FE"/>
    <w:rsid w:val="00CC03B5"/>
    <w:rsid w:val="00CD1F39"/>
    <w:rsid w:val="00CD4F83"/>
    <w:rsid w:val="00CE2BBA"/>
    <w:rsid w:val="00D27166"/>
    <w:rsid w:val="00D30946"/>
    <w:rsid w:val="00D30BF0"/>
    <w:rsid w:val="00D33A8E"/>
    <w:rsid w:val="00D44713"/>
    <w:rsid w:val="00D6275D"/>
    <w:rsid w:val="00D62B46"/>
    <w:rsid w:val="00D71021"/>
    <w:rsid w:val="00DA0DE8"/>
    <w:rsid w:val="00DA701B"/>
    <w:rsid w:val="00DB766C"/>
    <w:rsid w:val="00DB7CF2"/>
    <w:rsid w:val="00DD71FC"/>
    <w:rsid w:val="00DF7CB1"/>
    <w:rsid w:val="00E048DA"/>
    <w:rsid w:val="00E10756"/>
    <w:rsid w:val="00E20F26"/>
    <w:rsid w:val="00E235C5"/>
    <w:rsid w:val="00E329DC"/>
    <w:rsid w:val="00E42619"/>
    <w:rsid w:val="00E46ACD"/>
    <w:rsid w:val="00E83B77"/>
    <w:rsid w:val="00E922DA"/>
    <w:rsid w:val="00E95600"/>
    <w:rsid w:val="00EB49F5"/>
    <w:rsid w:val="00EB6E98"/>
    <w:rsid w:val="00EC2DC8"/>
    <w:rsid w:val="00EE0808"/>
    <w:rsid w:val="00EF1567"/>
    <w:rsid w:val="00F04FAD"/>
    <w:rsid w:val="00F13567"/>
    <w:rsid w:val="00F37E94"/>
    <w:rsid w:val="00F507E3"/>
    <w:rsid w:val="00F55D6D"/>
    <w:rsid w:val="00F72064"/>
    <w:rsid w:val="00F72275"/>
    <w:rsid w:val="00F812A7"/>
    <w:rsid w:val="00FB27A4"/>
    <w:rsid w:val="00FC1839"/>
    <w:rsid w:val="00FC1F41"/>
    <w:rsid w:val="00FC47EA"/>
    <w:rsid w:val="00FC7456"/>
    <w:rsid w:val="00FD00A1"/>
    <w:rsid w:val="00FD2FC7"/>
    <w:rsid w:val="00FD5E10"/>
    <w:rsid w:val="00FE383F"/>
    <w:rsid w:val="00FF2EE6"/>
    <w:rsid w:val="00FF3195"/>
    <w:rsid w:val="3D2FE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4613"/>
  <w15:chartTrackingRefBased/>
  <w15:docId w15:val="{F3FE12E9-4E52-A345-9E55-614F1C00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FC"/>
    <w:pPr>
      <w:spacing w:after="200"/>
    </w:pPr>
    <w:rPr>
      <w:sz w:val="24"/>
      <w:szCs w:val="24"/>
    </w:rPr>
  </w:style>
  <w:style w:type="paragraph" w:styleId="Heading1">
    <w:name w:val="heading 1"/>
    <w:basedOn w:val="Normal"/>
    <w:next w:val="Normal"/>
    <w:link w:val="Heading1Char"/>
    <w:uiPriority w:val="9"/>
    <w:qFormat/>
    <w:rsid w:val="00DF7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4391"/>
    <w:rPr>
      <w:rFonts w:eastAsia="Times New Roman"/>
      <w:sz w:val="22"/>
      <w:szCs w:val="22"/>
      <w:lang w:eastAsia="zh-CN"/>
    </w:rPr>
  </w:style>
  <w:style w:type="character" w:customStyle="1" w:styleId="NoSpacingChar">
    <w:name w:val="No Spacing Char"/>
    <w:link w:val="NoSpacing"/>
    <w:uiPriority w:val="1"/>
    <w:rsid w:val="00A94391"/>
    <w:rPr>
      <w:rFonts w:eastAsia="Times New Roman"/>
      <w:sz w:val="22"/>
      <w:szCs w:val="22"/>
      <w:lang w:eastAsia="zh-CN"/>
    </w:rPr>
  </w:style>
  <w:style w:type="paragraph" w:styleId="Header">
    <w:name w:val="header"/>
    <w:basedOn w:val="Normal"/>
    <w:link w:val="HeaderChar"/>
    <w:uiPriority w:val="99"/>
    <w:unhideWhenUsed/>
    <w:rsid w:val="00A94391"/>
    <w:pPr>
      <w:tabs>
        <w:tab w:val="center" w:pos="4680"/>
        <w:tab w:val="right" w:pos="9360"/>
      </w:tabs>
    </w:pPr>
  </w:style>
  <w:style w:type="character" w:customStyle="1" w:styleId="HeaderChar">
    <w:name w:val="Header Char"/>
    <w:basedOn w:val="DefaultParagraphFont"/>
    <w:link w:val="Header"/>
    <w:uiPriority w:val="99"/>
    <w:rsid w:val="00A94391"/>
  </w:style>
  <w:style w:type="paragraph" w:styleId="Footer">
    <w:name w:val="footer"/>
    <w:basedOn w:val="Normal"/>
    <w:link w:val="FooterChar"/>
    <w:uiPriority w:val="99"/>
    <w:unhideWhenUsed/>
    <w:rsid w:val="00A94391"/>
    <w:pPr>
      <w:tabs>
        <w:tab w:val="center" w:pos="4680"/>
        <w:tab w:val="right" w:pos="9360"/>
      </w:tabs>
    </w:pPr>
  </w:style>
  <w:style w:type="character" w:customStyle="1" w:styleId="FooterChar">
    <w:name w:val="Footer Char"/>
    <w:basedOn w:val="DefaultParagraphFont"/>
    <w:link w:val="Footer"/>
    <w:uiPriority w:val="99"/>
    <w:rsid w:val="00A94391"/>
  </w:style>
  <w:style w:type="character" w:styleId="Hyperlink">
    <w:name w:val="Hyperlink"/>
    <w:basedOn w:val="DefaultParagraphFont"/>
    <w:uiPriority w:val="99"/>
    <w:unhideWhenUsed/>
    <w:rsid w:val="002227E3"/>
    <w:rPr>
      <w:color w:val="0563C1" w:themeColor="hyperlink"/>
      <w:u w:val="single"/>
    </w:rPr>
  </w:style>
  <w:style w:type="character" w:styleId="UnresolvedMention">
    <w:name w:val="Unresolved Mention"/>
    <w:basedOn w:val="DefaultParagraphFont"/>
    <w:uiPriority w:val="99"/>
    <w:semiHidden/>
    <w:unhideWhenUsed/>
    <w:rsid w:val="002227E3"/>
    <w:rPr>
      <w:color w:val="605E5C"/>
      <w:shd w:val="clear" w:color="auto" w:fill="E1DFDD"/>
    </w:rPr>
  </w:style>
  <w:style w:type="paragraph" w:customStyle="1" w:styleId="Default">
    <w:name w:val="Default"/>
    <w:rsid w:val="00C14FF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30594"/>
    <w:pPr>
      <w:ind w:left="720"/>
      <w:contextualSpacing/>
    </w:pPr>
  </w:style>
  <w:style w:type="character" w:styleId="FollowedHyperlink">
    <w:name w:val="FollowedHyperlink"/>
    <w:basedOn w:val="DefaultParagraphFont"/>
    <w:uiPriority w:val="99"/>
    <w:semiHidden/>
    <w:unhideWhenUsed/>
    <w:rsid w:val="00F507E3"/>
    <w:rPr>
      <w:color w:val="954F72" w:themeColor="followedHyperlink"/>
      <w:u w:val="single"/>
    </w:rPr>
  </w:style>
  <w:style w:type="character" w:styleId="CommentReference">
    <w:name w:val="annotation reference"/>
    <w:basedOn w:val="DefaultParagraphFont"/>
    <w:uiPriority w:val="99"/>
    <w:semiHidden/>
    <w:unhideWhenUsed/>
    <w:rsid w:val="00C5234B"/>
    <w:rPr>
      <w:sz w:val="16"/>
      <w:szCs w:val="16"/>
    </w:rPr>
  </w:style>
  <w:style w:type="paragraph" w:styleId="CommentText">
    <w:name w:val="annotation text"/>
    <w:basedOn w:val="Normal"/>
    <w:link w:val="CommentTextChar"/>
    <w:uiPriority w:val="99"/>
    <w:semiHidden/>
    <w:unhideWhenUsed/>
    <w:rsid w:val="00C5234B"/>
    <w:rPr>
      <w:sz w:val="20"/>
      <w:szCs w:val="20"/>
    </w:rPr>
  </w:style>
  <w:style w:type="character" w:customStyle="1" w:styleId="CommentTextChar">
    <w:name w:val="Comment Text Char"/>
    <w:basedOn w:val="DefaultParagraphFont"/>
    <w:link w:val="CommentText"/>
    <w:uiPriority w:val="99"/>
    <w:semiHidden/>
    <w:rsid w:val="00C5234B"/>
  </w:style>
  <w:style w:type="paragraph" w:styleId="CommentSubject">
    <w:name w:val="annotation subject"/>
    <w:basedOn w:val="CommentText"/>
    <w:next w:val="CommentText"/>
    <w:link w:val="CommentSubjectChar"/>
    <w:uiPriority w:val="99"/>
    <w:semiHidden/>
    <w:unhideWhenUsed/>
    <w:rsid w:val="00C5234B"/>
    <w:rPr>
      <w:b/>
      <w:bCs/>
    </w:rPr>
  </w:style>
  <w:style w:type="character" w:customStyle="1" w:styleId="CommentSubjectChar">
    <w:name w:val="Comment Subject Char"/>
    <w:basedOn w:val="CommentTextChar"/>
    <w:link w:val="CommentSubject"/>
    <w:uiPriority w:val="99"/>
    <w:semiHidden/>
    <w:rsid w:val="00C5234B"/>
    <w:rPr>
      <w:b/>
      <w:bCs/>
    </w:rPr>
  </w:style>
  <w:style w:type="character" w:customStyle="1" w:styleId="Heading1Char">
    <w:name w:val="Heading 1 Char"/>
    <w:basedOn w:val="DefaultParagraphFont"/>
    <w:link w:val="Heading1"/>
    <w:uiPriority w:val="9"/>
    <w:rsid w:val="00DF7CB1"/>
    <w:rPr>
      <w:rFonts w:asciiTheme="majorHAnsi" w:eastAsiaTheme="majorEastAsia" w:hAnsiTheme="majorHAnsi" w:cstheme="majorBidi"/>
      <w:color w:val="2F5496" w:themeColor="accent1" w:themeShade="BF"/>
      <w:sz w:val="32"/>
      <w:szCs w:val="32"/>
    </w:rPr>
  </w:style>
  <w:style w:type="paragraph" w:customStyle="1" w:styleId="OrgNameandDate">
    <w:name w:val="Org Name and Date"/>
    <w:rsid w:val="00E95600"/>
    <w:rPr>
      <w:rFonts w:ascii="Century Gothic" w:eastAsia="Times New Roman" w:hAnsi="Century Gothic"/>
      <w:sz w:val="28"/>
      <w:szCs w:val="28"/>
    </w:rPr>
  </w:style>
  <w:style w:type="paragraph" w:styleId="TOCHeading">
    <w:name w:val="TOC Heading"/>
    <w:basedOn w:val="Heading1"/>
    <w:next w:val="Normal"/>
    <w:uiPriority w:val="39"/>
    <w:unhideWhenUsed/>
    <w:qFormat/>
    <w:rsid w:val="004C680C"/>
    <w:pPr>
      <w:spacing w:line="259" w:lineRule="auto"/>
      <w:outlineLvl w:val="9"/>
    </w:pPr>
  </w:style>
  <w:style w:type="table" w:styleId="TableGrid">
    <w:name w:val="Table Grid"/>
    <w:basedOn w:val="TableNormal"/>
    <w:uiPriority w:val="39"/>
    <w:rsid w:val="00CB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CB050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rsid w:val="009E05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702088">
      <w:bodyDiv w:val="1"/>
      <w:marLeft w:val="0"/>
      <w:marRight w:val="0"/>
      <w:marTop w:val="0"/>
      <w:marBottom w:val="0"/>
      <w:divBdr>
        <w:top w:val="none" w:sz="0" w:space="0" w:color="auto"/>
        <w:left w:val="none" w:sz="0" w:space="0" w:color="auto"/>
        <w:bottom w:val="none" w:sz="0" w:space="0" w:color="auto"/>
        <w:right w:val="none" w:sz="0" w:space="0" w:color="auto"/>
      </w:divBdr>
    </w:div>
    <w:div w:id="17235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nicoll@marcv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cv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878799-b055-4fec-9e62-fe3972b3eb4d" xsi:nil="true"/>
    <lcf76f155ced4ddcb4097134ff3c332f xmlns="29409c03-ab29-4da0-85fb-b16dbc23838b">
      <Terms xmlns="http://schemas.microsoft.com/office/infopath/2007/PartnerControls"/>
    </lcf76f155ced4ddcb4097134ff3c332f>
    <Notes xmlns="29409c03-ab29-4da0-85fb-b16dbc23838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0E4C7383D379408AFC93E1AF1B16E2" ma:contentTypeVersion="16" ma:contentTypeDescription="Create a new document." ma:contentTypeScope="" ma:versionID="5fce6dbb1cb13628a0a758788007e8ce">
  <xsd:schema xmlns:xsd="http://www.w3.org/2001/XMLSchema" xmlns:xs="http://www.w3.org/2001/XMLSchema" xmlns:p="http://schemas.microsoft.com/office/2006/metadata/properties" xmlns:ns2="29409c03-ab29-4da0-85fb-b16dbc23838b" xmlns:ns3="1d878799-b055-4fec-9e62-fe3972b3eb4d" targetNamespace="http://schemas.microsoft.com/office/2006/metadata/properties" ma:root="true" ma:fieldsID="77ffe08db2997efecdcbd0162f7ae9ba" ns2:_="" ns3:_="">
    <xsd:import namespace="29409c03-ab29-4da0-85fb-b16dbc23838b"/>
    <xsd:import namespace="1d878799-b055-4fec-9e62-fe3972b3e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Not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09c03-ab29-4da0-85fb-b16dbc238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6b0a56-2d84-4852-8adb-043813954e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78799-b055-4fec-9e62-fe3972b3eb4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e84a74-ec0e-4659-9200-bd51802a861c}" ma:internalName="TaxCatchAll" ma:showField="CatchAllData" ma:web="1d878799-b055-4fec-9e62-fe3972b3eb4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BA18D-4AF3-40C8-8BD1-8BB12E676D2D}">
  <ds:schemaRefs>
    <ds:schemaRef ds:uri="http://schemas.microsoft.com/office/2006/metadata/properties"/>
    <ds:schemaRef ds:uri="http://schemas.microsoft.com/office/infopath/2007/PartnerControls"/>
    <ds:schemaRef ds:uri="1d878799-b055-4fec-9e62-fe3972b3eb4d"/>
    <ds:schemaRef ds:uri="29409c03-ab29-4da0-85fb-b16dbc23838b"/>
  </ds:schemaRefs>
</ds:datastoreItem>
</file>

<file path=customXml/itemProps2.xml><?xml version="1.0" encoding="utf-8"?>
<ds:datastoreItem xmlns:ds="http://schemas.openxmlformats.org/officeDocument/2006/customXml" ds:itemID="{9D11C023-49B5-4471-87F0-1AE8D6B63061}">
  <ds:schemaRefs>
    <ds:schemaRef ds:uri="http://schemas.openxmlformats.org/officeDocument/2006/bibliography"/>
  </ds:schemaRefs>
</ds:datastoreItem>
</file>

<file path=customXml/itemProps3.xml><?xml version="1.0" encoding="utf-8"?>
<ds:datastoreItem xmlns:ds="http://schemas.openxmlformats.org/officeDocument/2006/customXml" ds:itemID="{C33A0DB4-B719-4B95-9376-C39CCD6EF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09c03-ab29-4da0-85fb-b16dbc23838b"/>
    <ds:schemaRef ds:uri="1d878799-b055-4fec-9e62-fe3972b3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C3B0A-966D-4F89-B758-B77D2A197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Malia Cordero</cp:lastModifiedBy>
  <cp:revision>2</cp:revision>
  <cp:lastPrinted>2021-02-26T16:50:00Z</cp:lastPrinted>
  <dcterms:created xsi:type="dcterms:W3CDTF">2024-06-21T17:00:00Z</dcterms:created>
  <dcterms:modified xsi:type="dcterms:W3CDTF">2024-06-21T17:00:00Z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0x010100BB0E4C7383D379408AFC93E1AF1B16E2</vt:lpwstr>
  </property>
  <property fmtid="{D5CDD505-2E9C-101B-9397-08002B2CF9AE}" pid="3" name="MediaServiceImageTags">
    <vt:lpwstr/>
  </property>
</Properties>
</file>